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569A7" w14:textId="654AC81F" w:rsidR="00742237" w:rsidRPr="00A30FE3" w:rsidRDefault="00ED08EE" w:rsidP="00742237">
      <w:pPr>
        <w:rPr>
          <w:rFonts w:asciiTheme="minorHAnsi" w:hAnsiTheme="minorHAnsi" w:cstheme="minorHAnsi"/>
          <w:b/>
        </w:rPr>
      </w:pPr>
      <w:r w:rsidRPr="00A30FE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10D748A" wp14:editId="1C3C9B1E">
                <wp:simplePos x="0" y="0"/>
                <wp:positionH relativeFrom="column">
                  <wp:posOffset>3515360</wp:posOffset>
                </wp:positionH>
                <wp:positionV relativeFrom="paragraph">
                  <wp:posOffset>-1090930</wp:posOffset>
                </wp:positionV>
                <wp:extent cx="2253615" cy="1333500"/>
                <wp:effectExtent l="20320" t="18415" r="21590" b="1968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3335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D8CAAB" w14:textId="77777777" w:rsidR="00990745" w:rsidRDefault="00990745">
                            <w:r>
                              <w:rPr>
                                <w:noProof/>
                                <w:lang w:eastAsia="en-GB"/>
                              </w:rPr>
                              <w:drawing>
                                <wp:inline distT="0" distB="0" distL="0" distR="0" wp14:anchorId="046EDF92" wp14:editId="2C839352">
                                  <wp:extent cx="2083435" cy="1058486"/>
                                  <wp:effectExtent l="0" t="0" r="0" b="0"/>
                                  <wp:docPr id="2" name="Picture 2" descr="C:\Users\Nick\Google Drive\My Work 160604\LPCs\Nottinghamshire LPC\N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Google Drive\My Work 160604\LPCs\Nottinghamshire LPC\NLP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3435" cy="105848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10D748A" id="_x0000_t202" coordsize="21600,21600" o:spt="202" path="m,l,21600r21600,l21600,xe">
                <v:stroke joinstyle="miter"/>
                <v:path gradientshapeok="t" o:connecttype="rect"/>
              </v:shapetype>
              <v:shape id="Text Box 16" o:spid="_x0000_s1026" type="#_x0000_t202" style="position:absolute;margin-left:276.8pt;margin-top:-85.9pt;width:177.45pt;height:1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" fillcolor="white [3201]" strokecolor="#9bbb59 [3206]" strokeweight="2.5pt">
                <v:shadow color="#868686"/>
                <v:textbox style="mso-fit-shape-to-text:t">
                  <w:txbxContent>
                    <w:p w14:paraId="36D8CAAB" w14:textId="77777777" w:rsidR="00990745" w:rsidRDefault="00990745">
                      <w:r>
                        <w:rPr>
                          <w:noProof/>
                          <w:lang w:eastAsia="en-GB"/>
                        </w:rPr>
                        <w:drawing>
                          <wp:inline distT="0" distB="0" distL="0" distR="0" wp14:anchorId="046EDF92" wp14:editId="2C839352">
                            <wp:extent cx="2083435" cy="1058486"/>
                            <wp:effectExtent l="0" t="0" r="0" b="0"/>
                            <wp:docPr id="2" name="Picture 2" descr="C:\Users\Nick\Google Drive\My Work 160604\LPCs\Nottinghamshire LPC\NL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Google Drive\My Work 160604\LPCs\Nottinghamshire LPC\NLP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3435" cy="1058486"/>
                                    </a:xfrm>
                                    <a:prstGeom prst="rect">
                                      <a:avLst/>
                                    </a:prstGeom>
                                    <a:noFill/>
                                    <a:ln>
                                      <a:noFill/>
                                    </a:ln>
                                  </pic:spPr>
                                </pic:pic>
                              </a:graphicData>
                            </a:graphic>
                          </wp:inline>
                        </w:drawing>
                      </w:r>
                    </w:p>
                  </w:txbxContent>
                </v:textbox>
              </v:shape>
            </w:pict>
          </mc:Fallback>
        </mc:AlternateContent>
      </w:r>
      <w:r w:rsidR="00CD4691" w:rsidRPr="00A30FE3">
        <w:rPr>
          <w:rFonts w:asciiTheme="minorHAnsi" w:hAnsiTheme="minorHAnsi" w:cstheme="minorHAnsi"/>
          <w:b/>
        </w:rPr>
        <w:t>To all Nottingham/shire Pharmacy Contractors,</w:t>
      </w:r>
      <w:r w:rsidR="00CD4691" w:rsidRPr="00A30FE3">
        <w:rPr>
          <w:rFonts w:asciiTheme="minorHAnsi" w:hAnsiTheme="minorHAnsi" w:cstheme="minorHAnsi"/>
          <w:b/>
        </w:rPr>
        <w:br/>
        <w:t xml:space="preserve"> </w:t>
      </w:r>
      <w:r w:rsidR="002D3999">
        <w:rPr>
          <w:rFonts w:asciiTheme="minorHAnsi" w:hAnsiTheme="minorHAnsi" w:cstheme="minorHAnsi"/>
          <w:b/>
        </w:rPr>
        <w:t>A</w:t>
      </w:r>
      <w:r w:rsidR="00CD4691" w:rsidRPr="00A30FE3">
        <w:rPr>
          <w:rFonts w:asciiTheme="minorHAnsi" w:hAnsiTheme="minorHAnsi" w:cstheme="minorHAnsi"/>
          <w:b/>
        </w:rPr>
        <w:t xml:space="preserve">rea </w:t>
      </w:r>
      <w:r w:rsidR="002D3999">
        <w:rPr>
          <w:rFonts w:asciiTheme="minorHAnsi" w:hAnsiTheme="minorHAnsi" w:cstheme="minorHAnsi"/>
          <w:b/>
        </w:rPr>
        <w:t>M</w:t>
      </w:r>
      <w:r w:rsidR="00CD4691" w:rsidRPr="00A30FE3">
        <w:rPr>
          <w:rFonts w:asciiTheme="minorHAnsi" w:hAnsiTheme="minorHAnsi" w:cstheme="minorHAnsi"/>
          <w:b/>
        </w:rPr>
        <w:t xml:space="preserve">anagers and </w:t>
      </w:r>
      <w:r w:rsidR="002D3999">
        <w:rPr>
          <w:rFonts w:asciiTheme="minorHAnsi" w:hAnsiTheme="minorHAnsi" w:cstheme="minorHAnsi"/>
          <w:b/>
        </w:rPr>
        <w:t>S</w:t>
      </w:r>
      <w:r w:rsidR="00CD4691" w:rsidRPr="00A30FE3">
        <w:rPr>
          <w:rFonts w:asciiTheme="minorHAnsi" w:hAnsiTheme="minorHAnsi" w:cstheme="minorHAnsi"/>
          <w:b/>
        </w:rPr>
        <w:t>uperintendents</w:t>
      </w:r>
    </w:p>
    <w:p w14:paraId="7A63311D" w14:textId="77777777" w:rsidR="00AA165E" w:rsidRPr="00A30FE3" w:rsidRDefault="00AA165E" w:rsidP="00E3666B">
      <w:pPr>
        <w:pStyle w:val="BodyText"/>
        <w:jc w:val="left"/>
        <w:rPr>
          <w:rFonts w:asciiTheme="minorHAnsi" w:hAnsiTheme="minorHAnsi" w:cstheme="minorHAnsi"/>
          <w:sz w:val="22"/>
          <w:szCs w:val="22"/>
        </w:rPr>
      </w:pPr>
    </w:p>
    <w:p w14:paraId="061A91FC" w14:textId="6F2DE598" w:rsidR="00A30FE3" w:rsidRPr="00A30FE3" w:rsidRDefault="00B909BE" w:rsidP="00E3666B">
      <w:pPr>
        <w:pStyle w:val="BodyText"/>
        <w:jc w:val="left"/>
        <w:rPr>
          <w:rFonts w:asciiTheme="minorHAnsi" w:hAnsiTheme="minorHAnsi" w:cstheme="minorHAnsi"/>
          <w:sz w:val="22"/>
          <w:szCs w:val="22"/>
        </w:rPr>
      </w:pPr>
      <w:r w:rsidRPr="00A30FE3">
        <w:rPr>
          <w:rFonts w:asciiTheme="minorHAnsi" w:hAnsiTheme="minorHAnsi" w:cstheme="minorHAnsi"/>
          <w:sz w:val="22"/>
          <w:szCs w:val="22"/>
        </w:rPr>
        <w:t>The</w:t>
      </w:r>
      <w:r w:rsidR="006E16BF" w:rsidRPr="00A30FE3">
        <w:rPr>
          <w:rFonts w:asciiTheme="minorHAnsi" w:hAnsiTheme="minorHAnsi" w:cstheme="minorHAnsi"/>
          <w:sz w:val="22"/>
          <w:szCs w:val="22"/>
        </w:rPr>
        <w:t xml:space="preserve"> challenges facing contractors last year remain largely the same this year -</w:t>
      </w:r>
      <w:r w:rsidR="00B80E46" w:rsidRPr="00A30FE3">
        <w:rPr>
          <w:rFonts w:asciiTheme="minorHAnsi" w:hAnsiTheme="minorHAnsi" w:cstheme="minorHAnsi"/>
          <w:sz w:val="22"/>
          <w:szCs w:val="22"/>
        </w:rPr>
        <w:t xml:space="preserve"> basic cash flow and further uncertainty of the fragmented NHS</w:t>
      </w:r>
      <w:r w:rsidR="006E16BF" w:rsidRPr="00A30FE3">
        <w:rPr>
          <w:rFonts w:asciiTheme="minorHAnsi" w:hAnsiTheme="minorHAnsi" w:cstheme="minorHAnsi"/>
          <w:sz w:val="22"/>
          <w:szCs w:val="22"/>
        </w:rPr>
        <w:t>,</w:t>
      </w:r>
      <w:r w:rsidR="00A30FE3" w:rsidRPr="00A30FE3">
        <w:rPr>
          <w:rFonts w:asciiTheme="minorHAnsi" w:hAnsiTheme="minorHAnsi" w:cstheme="minorHAnsi"/>
          <w:sz w:val="22"/>
          <w:szCs w:val="22"/>
        </w:rPr>
        <w:t xml:space="preserve"> and now to add the work and uncertainty that COVID has brought. M</w:t>
      </w:r>
      <w:r w:rsidR="006F48C0">
        <w:rPr>
          <w:rFonts w:asciiTheme="minorHAnsi" w:hAnsiTheme="minorHAnsi" w:cstheme="minorHAnsi"/>
          <w:sz w:val="22"/>
          <w:szCs w:val="22"/>
        </w:rPr>
        <w:t>uch</w:t>
      </w:r>
      <w:r w:rsidR="00A30FE3" w:rsidRPr="00A30FE3">
        <w:rPr>
          <w:rFonts w:asciiTheme="minorHAnsi" w:hAnsiTheme="minorHAnsi" w:cstheme="minorHAnsi"/>
          <w:sz w:val="22"/>
          <w:szCs w:val="22"/>
        </w:rPr>
        <w:t xml:space="preserve"> of our time in the la</w:t>
      </w:r>
      <w:r w:rsidR="006F48C0">
        <w:rPr>
          <w:rFonts w:asciiTheme="minorHAnsi" w:hAnsiTheme="minorHAnsi" w:cstheme="minorHAnsi"/>
          <w:sz w:val="22"/>
          <w:szCs w:val="22"/>
        </w:rPr>
        <w:t>st</w:t>
      </w:r>
      <w:r w:rsidR="00A30FE3" w:rsidRPr="00A30FE3">
        <w:rPr>
          <w:rFonts w:asciiTheme="minorHAnsi" w:hAnsiTheme="minorHAnsi" w:cstheme="minorHAnsi"/>
          <w:sz w:val="22"/>
          <w:szCs w:val="22"/>
        </w:rPr>
        <w:t xml:space="preserve"> month / six weeks of the year was dealing with the sudden chaos of COVID and then lockdown – before that we spent a lot of time trying to engage with all the factions of the NHS locally to represent pharmacy contractors and provide some degree of interpretation as to what that all means.</w:t>
      </w:r>
      <w:r w:rsidR="002D3999">
        <w:rPr>
          <w:rFonts w:asciiTheme="minorHAnsi" w:hAnsiTheme="minorHAnsi" w:cstheme="minorHAnsi"/>
          <w:sz w:val="22"/>
          <w:szCs w:val="22"/>
        </w:rPr>
        <w:t xml:space="preserve"> During the autumn of 2019 we ran many workshops to support PQS and particularly focussing on supporting the engagement with the newly formed Primary Care Networks. This meant in some weeks we were running evening events 3 or 4 evenings for pharmacy teams as well as trying to keep the day job going representing pharmacy contractors in local negotiations. </w:t>
      </w:r>
    </w:p>
    <w:p w14:paraId="05D92FBB" w14:textId="7808D82C" w:rsidR="00A30FE3" w:rsidRPr="00A30FE3" w:rsidRDefault="00A30FE3" w:rsidP="00E3666B">
      <w:pPr>
        <w:pStyle w:val="BodyText"/>
        <w:jc w:val="left"/>
        <w:rPr>
          <w:rFonts w:asciiTheme="minorHAnsi" w:hAnsiTheme="minorHAnsi" w:cstheme="minorHAnsi"/>
          <w:sz w:val="22"/>
          <w:szCs w:val="22"/>
        </w:rPr>
      </w:pPr>
    </w:p>
    <w:p w14:paraId="4A6012B5" w14:textId="662242E1" w:rsidR="00B80E46" w:rsidRPr="00A30FE3" w:rsidRDefault="00A30FE3" w:rsidP="00E3666B">
      <w:pPr>
        <w:pStyle w:val="BodyText"/>
        <w:jc w:val="left"/>
        <w:rPr>
          <w:rFonts w:asciiTheme="minorHAnsi" w:hAnsiTheme="minorHAnsi" w:cstheme="minorHAnsi"/>
          <w:sz w:val="22"/>
          <w:szCs w:val="22"/>
        </w:rPr>
      </w:pPr>
      <w:r w:rsidRPr="00A30FE3">
        <w:rPr>
          <w:rFonts w:asciiTheme="minorHAnsi" w:hAnsiTheme="minorHAnsi" w:cstheme="minorHAnsi"/>
          <w:sz w:val="22"/>
          <w:szCs w:val="22"/>
        </w:rPr>
        <w:t xml:space="preserve">We continue to be linked into the </w:t>
      </w:r>
      <w:r w:rsidR="002D3999">
        <w:rPr>
          <w:rFonts w:asciiTheme="minorHAnsi" w:hAnsiTheme="minorHAnsi" w:cstheme="minorHAnsi"/>
          <w:sz w:val="22"/>
          <w:szCs w:val="22"/>
        </w:rPr>
        <w:t>Integrated Care System (</w:t>
      </w:r>
      <w:r w:rsidRPr="00A30FE3">
        <w:rPr>
          <w:rFonts w:asciiTheme="minorHAnsi" w:hAnsiTheme="minorHAnsi" w:cstheme="minorHAnsi"/>
          <w:sz w:val="22"/>
          <w:szCs w:val="22"/>
        </w:rPr>
        <w:t>ICS</w:t>
      </w:r>
      <w:r w:rsidR="002D3999">
        <w:rPr>
          <w:rFonts w:asciiTheme="minorHAnsi" w:hAnsiTheme="minorHAnsi" w:cstheme="minorHAnsi"/>
          <w:sz w:val="22"/>
          <w:szCs w:val="22"/>
        </w:rPr>
        <w:t>)</w:t>
      </w:r>
      <w:r w:rsidRPr="00A30FE3">
        <w:rPr>
          <w:rFonts w:asciiTheme="minorHAnsi" w:hAnsiTheme="minorHAnsi" w:cstheme="minorHAnsi"/>
          <w:sz w:val="22"/>
          <w:szCs w:val="22"/>
        </w:rPr>
        <w:t xml:space="preserve"> and in particular the many clinical strategy workstreams, although it is impossible to attend them all</w:t>
      </w:r>
      <w:r w:rsidR="002D3999">
        <w:rPr>
          <w:rFonts w:asciiTheme="minorHAnsi" w:hAnsiTheme="minorHAnsi" w:cstheme="minorHAnsi"/>
          <w:sz w:val="22"/>
          <w:szCs w:val="22"/>
        </w:rPr>
        <w:t>,</w:t>
      </w:r>
      <w:r w:rsidRPr="00A30FE3">
        <w:rPr>
          <w:rFonts w:asciiTheme="minorHAnsi" w:hAnsiTheme="minorHAnsi" w:cstheme="minorHAnsi"/>
          <w:sz w:val="22"/>
          <w:szCs w:val="22"/>
        </w:rPr>
        <w:t xml:space="preserve"> even with the support of </w:t>
      </w:r>
      <w:r w:rsidR="00445D6E" w:rsidRPr="00A30FE3">
        <w:rPr>
          <w:rFonts w:asciiTheme="minorHAnsi" w:hAnsiTheme="minorHAnsi" w:cstheme="minorHAnsi"/>
          <w:sz w:val="22"/>
          <w:szCs w:val="22"/>
        </w:rPr>
        <w:t xml:space="preserve">my </w:t>
      </w:r>
      <w:r w:rsidR="00593031" w:rsidRPr="00A30FE3">
        <w:rPr>
          <w:rFonts w:asciiTheme="minorHAnsi" w:hAnsiTheme="minorHAnsi" w:cstheme="minorHAnsi"/>
          <w:sz w:val="22"/>
          <w:szCs w:val="22"/>
        </w:rPr>
        <w:t>LPC members</w:t>
      </w:r>
      <w:r w:rsidR="00445D6E" w:rsidRPr="00A30FE3">
        <w:rPr>
          <w:rFonts w:asciiTheme="minorHAnsi" w:hAnsiTheme="minorHAnsi" w:cstheme="minorHAnsi"/>
          <w:sz w:val="22"/>
          <w:szCs w:val="22"/>
        </w:rPr>
        <w:t xml:space="preserve"> and executive officers who give up their time as volunteers</w:t>
      </w:r>
      <w:r w:rsidRPr="00A30FE3">
        <w:rPr>
          <w:rFonts w:asciiTheme="minorHAnsi" w:hAnsiTheme="minorHAnsi" w:cstheme="minorHAnsi"/>
          <w:sz w:val="22"/>
          <w:szCs w:val="22"/>
        </w:rPr>
        <w:t>.</w:t>
      </w:r>
    </w:p>
    <w:p w14:paraId="62BA7641" w14:textId="77777777" w:rsidR="00B80E46" w:rsidRPr="00A30FE3" w:rsidRDefault="00B80E46" w:rsidP="00E3666B">
      <w:pPr>
        <w:pStyle w:val="BodyText"/>
        <w:jc w:val="left"/>
        <w:rPr>
          <w:rFonts w:asciiTheme="minorHAnsi" w:hAnsiTheme="minorHAnsi" w:cstheme="minorHAnsi"/>
          <w:sz w:val="22"/>
          <w:szCs w:val="22"/>
        </w:rPr>
      </w:pPr>
    </w:p>
    <w:p w14:paraId="265786EA" w14:textId="650C8300" w:rsidR="005E07A6" w:rsidRPr="00A30FE3" w:rsidRDefault="00B80E46" w:rsidP="00E3666B">
      <w:pPr>
        <w:pStyle w:val="BodyText"/>
        <w:jc w:val="left"/>
        <w:rPr>
          <w:rFonts w:asciiTheme="minorHAnsi" w:hAnsiTheme="minorHAnsi" w:cstheme="minorHAnsi"/>
          <w:sz w:val="22"/>
          <w:szCs w:val="22"/>
        </w:rPr>
      </w:pPr>
      <w:r w:rsidRPr="00A30FE3">
        <w:rPr>
          <w:rFonts w:asciiTheme="minorHAnsi" w:hAnsiTheme="minorHAnsi" w:cstheme="minorHAnsi"/>
          <w:sz w:val="22"/>
          <w:szCs w:val="22"/>
        </w:rPr>
        <w:t xml:space="preserve">We </w:t>
      </w:r>
      <w:r w:rsidR="00A30FE3" w:rsidRPr="00A30FE3">
        <w:rPr>
          <w:rFonts w:asciiTheme="minorHAnsi" w:hAnsiTheme="minorHAnsi" w:cstheme="minorHAnsi"/>
          <w:sz w:val="22"/>
          <w:szCs w:val="22"/>
        </w:rPr>
        <w:t xml:space="preserve">continue to work </w:t>
      </w:r>
      <w:r w:rsidRPr="00A30FE3">
        <w:rPr>
          <w:rFonts w:asciiTheme="minorHAnsi" w:hAnsiTheme="minorHAnsi" w:cstheme="minorHAnsi"/>
          <w:sz w:val="22"/>
          <w:szCs w:val="22"/>
        </w:rPr>
        <w:t>with Metaphor Development</w:t>
      </w:r>
      <w:r w:rsidR="00A30FE3" w:rsidRPr="00A30FE3">
        <w:rPr>
          <w:rFonts w:asciiTheme="minorHAnsi" w:hAnsiTheme="minorHAnsi" w:cstheme="minorHAnsi"/>
          <w:sz w:val="22"/>
          <w:szCs w:val="22"/>
        </w:rPr>
        <w:t xml:space="preserve"> to provide the training academy although this is still evolving and as I write we have been forced to pause due to COVID. We will be soon working on how we continue to provide the training academy in a COVID-world and in light of the recommendations in the Wright Review about the role and functions of LPCs and PSNC – see </w:t>
      </w:r>
      <w:hyperlink r:id="rId10" w:history="1">
        <w:r w:rsidR="00A30FE3" w:rsidRPr="00A30FE3">
          <w:rPr>
            <w:rStyle w:val="Hyperlink"/>
            <w:rFonts w:asciiTheme="minorHAnsi" w:hAnsiTheme="minorHAnsi" w:cstheme="minorHAnsi"/>
            <w:sz w:val="22"/>
            <w:szCs w:val="22"/>
          </w:rPr>
          <w:t>https://pharmacy-review.org/</w:t>
        </w:r>
      </w:hyperlink>
      <w:r w:rsidR="00A30FE3" w:rsidRPr="00A30FE3">
        <w:rPr>
          <w:rFonts w:asciiTheme="minorHAnsi" w:hAnsiTheme="minorHAnsi" w:cstheme="minorHAnsi"/>
          <w:sz w:val="22"/>
          <w:szCs w:val="22"/>
        </w:rPr>
        <w:t>. A significant</w:t>
      </w:r>
      <w:r w:rsidR="00A30FE3">
        <w:rPr>
          <w:rFonts w:asciiTheme="minorHAnsi" w:hAnsiTheme="minorHAnsi" w:cstheme="minorHAnsi"/>
          <w:sz w:val="22"/>
          <w:szCs w:val="22"/>
        </w:rPr>
        <w:t xml:space="preserve"> recommendation of this review is that LPCs shouldn’t be providing much of the training and support we have been doing and instead should focus on representation and fostering local relationships – we welcome your feedback on this aspect in particular</w:t>
      </w:r>
      <w:r w:rsidR="00901A39">
        <w:rPr>
          <w:rFonts w:asciiTheme="minorHAnsi" w:hAnsiTheme="minorHAnsi" w:cstheme="minorHAnsi"/>
          <w:sz w:val="22"/>
          <w:szCs w:val="22"/>
        </w:rPr>
        <w:t xml:space="preserve"> because the </w:t>
      </w:r>
      <w:r w:rsidRPr="00A30FE3">
        <w:rPr>
          <w:rFonts w:asciiTheme="minorHAnsi" w:hAnsiTheme="minorHAnsi" w:cstheme="minorHAnsi"/>
          <w:sz w:val="22"/>
          <w:szCs w:val="22"/>
        </w:rPr>
        <w:t xml:space="preserve">LPC have invested a significant amount of time and resource into developing the training academy which was in response to the feedback contractors gave </w:t>
      </w:r>
      <w:r w:rsidR="00901A39">
        <w:rPr>
          <w:rFonts w:asciiTheme="minorHAnsi" w:hAnsiTheme="minorHAnsi" w:cstheme="minorHAnsi"/>
          <w:sz w:val="22"/>
          <w:szCs w:val="22"/>
        </w:rPr>
        <w:t>in the past.</w:t>
      </w:r>
      <w:r w:rsidR="005E07A6" w:rsidRPr="00A30FE3">
        <w:rPr>
          <w:rFonts w:asciiTheme="minorHAnsi" w:hAnsiTheme="minorHAnsi" w:cstheme="minorHAnsi"/>
          <w:sz w:val="22"/>
          <w:szCs w:val="22"/>
        </w:rPr>
        <w:t xml:space="preserve"> </w:t>
      </w:r>
    </w:p>
    <w:p w14:paraId="06DF76AF" w14:textId="77777777" w:rsidR="00C015D7" w:rsidRPr="00A30FE3" w:rsidRDefault="00C015D7" w:rsidP="00E3666B">
      <w:pPr>
        <w:pStyle w:val="BodyText"/>
        <w:jc w:val="left"/>
        <w:rPr>
          <w:rFonts w:asciiTheme="minorHAnsi" w:hAnsiTheme="minorHAnsi" w:cstheme="minorHAnsi"/>
          <w:sz w:val="22"/>
          <w:szCs w:val="22"/>
        </w:rPr>
      </w:pPr>
    </w:p>
    <w:p w14:paraId="5B87EF7B" w14:textId="3993DCFD" w:rsidR="00222800" w:rsidRPr="00A30FE3" w:rsidRDefault="00E3666B" w:rsidP="00E3666B">
      <w:pPr>
        <w:pStyle w:val="BodyText"/>
        <w:jc w:val="left"/>
        <w:rPr>
          <w:rFonts w:asciiTheme="minorHAnsi" w:hAnsiTheme="minorHAnsi" w:cstheme="minorHAnsi"/>
          <w:sz w:val="22"/>
          <w:szCs w:val="22"/>
        </w:rPr>
      </w:pPr>
      <w:r w:rsidRPr="00A30FE3">
        <w:rPr>
          <w:rFonts w:asciiTheme="minorHAnsi" w:hAnsiTheme="minorHAnsi" w:cstheme="minorHAnsi"/>
          <w:sz w:val="22"/>
          <w:szCs w:val="22"/>
        </w:rPr>
        <w:t>I have tried to précis the year in my report</w:t>
      </w:r>
      <w:r w:rsidR="0054283F" w:rsidRPr="00A30FE3">
        <w:rPr>
          <w:rFonts w:asciiTheme="minorHAnsi" w:hAnsiTheme="minorHAnsi" w:cstheme="minorHAnsi"/>
          <w:sz w:val="22"/>
          <w:szCs w:val="22"/>
        </w:rPr>
        <w:t xml:space="preserve"> without duplicating</w:t>
      </w:r>
      <w:r w:rsidRPr="00A30FE3">
        <w:rPr>
          <w:rFonts w:asciiTheme="minorHAnsi" w:hAnsiTheme="minorHAnsi" w:cstheme="minorHAnsi"/>
          <w:sz w:val="22"/>
          <w:szCs w:val="22"/>
        </w:rPr>
        <w:t xml:space="preserve"> the newsletters we produce. </w:t>
      </w:r>
      <w:r w:rsidR="00B95489" w:rsidRPr="00A30FE3">
        <w:rPr>
          <w:rFonts w:asciiTheme="minorHAnsi" w:hAnsiTheme="minorHAnsi" w:cstheme="minorHAnsi"/>
          <w:sz w:val="22"/>
          <w:szCs w:val="22"/>
        </w:rPr>
        <w:t>We have continued to distribute the</w:t>
      </w:r>
      <w:r w:rsidR="00C015D7" w:rsidRPr="00A30FE3">
        <w:rPr>
          <w:rFonts w:asciiTheme="minorHAnsi" w:hAnsiTheme="minorHAnsi" w:cstheme="minorHAnsi"/>
          <w:sz w:val="22"/>
          <w:szCs w:val="22"/>
        </w:rPr>
        <w:t xml:space="preserve"> newsletter</w:t>
      </w:r>
      <w:r w:rsidR="008D0655" w:rsidRPr="00A30FE3">
        <w:rPr>
          <w:rFonts w:asciiTheme="minorHAnsi" w:hAnsiTheme="minorHAnsi" w:cstheme="minorHAnsi"/>
          <w:sz w:val="22"/>
          <w:szCs w:val="22"/>
        </w:rPr>
        <w:t xml:space="preserve"> electronically via </w:t>
      </w:r>
      <w:proofErr w:type="spellStart"/>
      <w:r w:rsidR="00B95489" w:rsidRPr="00A30FE3">
        <w:rPr>
          <w:rFonts w:asciiTheme="minorHAnsi" w:hAnsiTheme="minorHAnsi" w:cstheme="minorHAnsi"/>
          <w:sz w:val="22"/>
          <w:szCs w:val="22"/>
        </w:rPr>
        <w:t>MailChimp</w:t>
      </w:r>
      <w:proofErr w:type="spellEnd"/>
      <w:r w:rsidR="008D0655" w:rsidRPr="00A30FE3">
        <w:rPr>
          <w:rFonts w:asciiTheme="minorHAnsi" w:hAnsiTheme="minorHAnsi" w:cstheme="minorHAnsi"/>
          <w:sz w:val="22"/>
          <w:szCs w:val="22"/>
        </w:rPr>
        <w:t xml:space="preserve"> which seems to work well and provide us with a balance between efficiency and readability.</w:t>
      </w:r>
      <w:r w:rsidR="00B95489" w:rsidRPr="00A30FE3">
        <w:rPr>
          <w:rFonts w:asciiTheme="minorHAnsi" w:hAnsiTheme="minorHAnsi" w:cstheme="minorHAnsi"/>
          <w:sz w:val="22"/>
          <w:szCs w:val="22"/>
        </w:rPr>
        <w:t xml:space="preserve"> </w:t>
      </w:r>
      <w:r w:rsidR="00C015D7" w:rsidRPr="00A30FE3">
        <w:rPr>
          <w:rFonts w:asciiTheme="minorHAnsi" w:hAnsiTheme="minorHAnsi" w:cstheme="minorHAnsi"/>
          <w:sz w:val="22"/>
          <w:szCs w:val="22"/>
        </w:rPr>
        <w:t xml:space="preserve"> </w:t>
      </w:r>
      <w:r w:rsidR="005E07A6" w:rsidRPr="00A30FE3">
        <w:rPr>
          <w:rFonts w:asciiTheme="minorHAnsi" w:hAnsiTheme="minorHAnsi" w:cstheme="minorHAnsi"/>
          <w:sz w:val="22"/>
          <w:szCs w:val="22"/>
        </w:rPr>
        <w:t xml:space="preserve">As with NHSE we now use pharmacy </w:t>
      </w:r>
      <w:proofErr w:type="spellStart"/>
      <w:r w:rsidR="005E07A6" w:rsidRPr="00A30FE3">
        <w:rPr>
          <w:rFonts w:asciiTheme="minorHAnsi" w:hAnsiTheme="minorHAnsi" w:cstheme="minorHAnsi"/>
          <w:sz w:val="22"/>
          <w:szCs w:val="22"/>
        </w:rPr>
        <w:t>NHSnet</w:t>
      </w:r>
      <w:proofErr w:type="spellEnd"/>
      <w:r w:rsidR="005E07A6" w:rsidRPr="00A30FE3">
        <w:rPr>
          <w:rFonts w:asciiTheme="minorHAnsi" w:hAnsiTheme="minorHAnsi" w:cstheme="minorHAnsi"/>
          <w:sz w:val="22"/>
          <w:szCs w:val="22"/>
        </w:rPr>
        <w:t xml:space="preserve"> email addresses</w:t>
      </w:r>
      <w:r w:rsidR="006E16BF" w:rsidRPr="00A30FE3">
        <w:rPr>
          <w:rFonts w:asciiTheme="minorHAnsi" w:hAnsiTheme="minorHAnsi" w:cstheme="minorHAnsi"/>
          <w:sz w:val="22"/>
          <w:szCs w:val="22"/>
        </w:rPr>
        <w:t>, but also continue</w:t>
      </w:r>
      <w:r w:rsidR="005E07A6" w:rsidRPr="00A30FE3">
        <w:rPr>
          <w:rFonts w:asciiTheme="minorHAnsi" w:hAnsiTheme="minorHAnsi" w:cstheme="minorHAnsi"/>
          <w:sz w:val="22"/>
          <w:szCs w:val="22"/>
        </w:rPr>
        <w:t xml:space="preserve"> as well </w:t>
      </w:r>
      <w:r w:rsidR="006E16BF" w:rsidRPr="00A30FE3">
        <w:rPr>
          <w:rFonts w:asciiTheme="minorHAnsi" w:hAnsiTheme="minorHAnsi" w:cstheme="minorHAnsi"/>
          <w:sz w:val="22"/>
          <w:szCs w:val="22"/>
        </w:rPr>
        <w:t>with</w:t>
      </w:r>
      <w:r w:rsidR="005E07A6" w:rsidRPr="00A30FE3">
        <w:rPr>
          <w:rFonts w:asciiTheme="minorHAnsi" w:hAnsiTheme="minorHAnsi" w:cstheme="minorHAnsi"/>
          <w:sz w:val="22"/>
          <w:szCs w:val="22"/>
        </w:rPr>
        <w:t xml:space="preserve"> those contractors have given</w:t>
      </w:r>
      <w:r w:rsidR="00901A39">
        <w:rPr>
          <w:rFonts w:asciiTheme="minorHAnsi" w:hAnsiTheme="minorHAnsi" w:cstheme="minorHAnsi"/>
          <w:sz w:val="22"/>
          <w:szCs w:val="22"/>
        </w:rPr>
        <w:t xml:space="preserve"> us, however please be aware the NHS will only communicate to you via your NHS shared mail box and given you will need to demonstrate use of that email for PQS we cannot stress enough that it is vital you have a process to check that email frequently – and suggest that </w:t>
      </w:r>
      <w:r w:rsidR="002D3999">
        <w:rPr>
          <w:rFonts w:asciiTheme="minorHAnsi" w:hAnsiTheme="minorHAnsi" w:cstheme="minorHAnsi"/>
          <w:sz w:val="22"/>
          <w:szCs w:val="22"/>
        </w:rPr>
        <w:t xml:space="preserve">it </w:t>
      </w:r>
      <w:r w:rsidR="00901A39">
        <w:rPr>
          <w:rFonts w:asciiTheme="minorHAnsi" w:hAnsiTheme="minorHAnsi" w:cstheme="minorHAnsi"/>
          <w:sz w:val="22"/>
          <w:szCs w:val="22"/>
        </w:rPr>
        <w:t>is a minimum of daily, but ideally during the day as well</w:t>
      </w:r>
      <w:r w:rsidR="005E07A6" w:rsidRPr="00A30FE3">
        <w:rPr>
          <w:rFonts w:asciiTheme="minorHAnsi" w:hAnsiTheme="minorHAnsi" w:cstheme="minorHAnsi"/>
          <w:sz w:val="22"/>
          <w:szCs w:val="22"/>
        </w:rPr>
        <w:t xml:space="preserve">. Please inform Alison of any email address changes to ensure you continue to receive a copy, although we continue to publish on the LPC website along with the archive of past copies at </w:t>
      </w:r>
      <w:hyperlink r:id="rId11" w:history="1">
        <w:hyperlink r:id="rId12" w:history="1">
          <w:r w:rsidR="00222800" w:rsidRPr="00222800">
            <w:rPr>
              <w:rStyle w:val="Hyperlink"/>
              <w:rFonts w:ascii="Segoe UI" w:hAnsi="Segoe UI" w:cs="Segoe UI"/>
              <w:shd w:val="clear" w:color="auto" w:fill="F1F1F1"/>
            </w:rPr>
            <w:t>https://psnc.org.uk/nottinghamshire-lpc/lpc-info-and-governance/lpc-activity/lpc-newsletter/</w:t>
          </w:r>
        </w:hyperlink>
      </w:hyperlink>
      <w:r w:rsidR="00222800">
        <w:t>.</w:t>
      </w:r>
    </w:p>
    <w:p w14:paraId="28B6261D" w14:textId="77777777" w:rsidR="00C015D7" w:rsidRPr="00A30FE3" w:rsidRDefault="00C015D7" w:rsidP="00E3666B">
      <w:pPr>
        <w:pStyle w:val="BodyText"/>
        <w:jc w:val="left"/>
        <w:rPr>
          <w:rFonts w:asciiTheme="minorHAnsi" w:hAnsiTheme="minorHAnsi" w:cstheme="minorHAnsi"/>
          <w:sz w:val="22"/>
          <w:szCs w:val="22"/>
        </w:rPr>
      </w:pPr>
    </w:p>
    <w:p w14:paraId="6EE0E360" w14:textId="7D76CE14" w:rsidR="00E3666B" w:rsidRPr="00A30FE3" w:rsidRDefault="00E3666B" w:rsidP="00E3666B">
      <w:pPr>
        <w:pStyle w:val="BodyText"/>
        <w:jc w:val="left"/>
        <w:rPr>
          <w:rFonts w:asciiTheme="minorHAnsi" w:hAnsiTheme="minorHAnsi" w:cstheme="minorHAnsi"/>
          <w:sz w:val="22"/>
          <w:szCs w:val="22"/>
        </w:rPr>
      </w:pPr>
      <w:r w:rsidRPr="00A30FE3">
        <w:rPr>
          <w:rFonts w:asciiTheme="minorHAnsi" w:hAnsiTheme="minorHAnsi" w:cstheme="minorHAnsi"/>
          <w:sz w:val="22"/>
          <w:szCs w:val="22"/>
        </w:rPr>
        <w:t xml:space="preserve">I have outlined key points from the LPC for your information below, but as always if you want more information or just to discuss things in general don’t hesitate to get in touch with me or any of the LPC members. As an LPC we try to run our meetings in an as open </w:t>
      </w:r>
      <w:r w:rsidR="002D3999">
        <w:rPr>
          <w:rFonts w:asciiTheme="minorHAnsi" w:hAnsiTheme="minorHAnsi" w:cstheme="minorHAnsi"/>
          <w:sz w:val="22"/>
          <w:szCs w:val="22"/>
        </w:rPr>
        <w:t xml:space="preserve">an </w:t>
      </w:r>
      <w:r w:rsidRPr="00A30FE3">
        <w:rPr>
          <w:rFonts w:asciiTheme="minorHAnsi" w:hAnsiTheme="minorHAnsi" w:cstheme="minorHAnsi"/>
          <w:sz w:val="22"/>
          <w:szCs w:val="22"/>
        </w:rPr>
        <w:t xml:space="preserve">environment as possible which </w:t>
      </w:r>
      <w:r w:rsidRPr="00A30FE3">
        <w:rPr>
          <w:rFonts w:asciiTheme="minorHAnsi" w:hAnsiTheme="minorHAnsi" w:cstheme="minorHAnsi"/>
          <w:sz w:val="22"/>
          <w:szCs w:val="22"/>
        </w:rPr>
        <w:lastRenderedPageBreak/>
        <w:t xml:space="preserve">means we welcome contractor observers. </w:t>
      </w:r>
      <w:r w:rsidR="00901A39" w:rsidRPr="00A30FE3">
        <w:rPr>
          <w:rFonts w:asciiTheme="minorHAnsi" w:hAnsiTheme="minorHAnsi" w:cstheme="minorHAnsi"/>
          <w:sz w:val="22"/>
          <w:szCs w:val="22"/>
        </w:rPr>
        <w:t>Indeed,</w:t>
      </w:r>
      <w:r w:rsidRPr="00A30FE3">
        <w:rPr>
          <w:rFonts w:asciiTheme="minorHAnsi" w:hAnsiTheme="minorHAnsi" w:cstheme="minorHAnsi"/>
          <w:sz w:val="22"/>
          <w:szCs w:val="22"/>
        </w:rPr>
        <w:t xml:space="preserve"> many contractors</w:t>
      </w:r>
      <w:r w:rsidR="00895DBE" w:rsidRPr="00A30FE3">
        <w:rPr>
          <w:rFonts w:asciiTheme="minorHAnsi" w:hAnsiTheme="minorHAnsi" w:cstheme="minorHAnsi"/>
          <w:sz w:val="22"/>
          <w:szCs w:val="22"/>
        </w:rPr>
        <w:t xml:space="preserve"> or their staff</w:t>
      </w:r>
      <w:r w:rsidRPr="00A30FE3">
        <w:rPr>
          <w:rFonts w:asciiTheme="minorHAnsi" w:hAnsiTheme="minorHAnsi" w:cstheme="minorHAnsi"/>
          <w:sz w:val="22"/>
          <w:szCs w:val="22"/>
        </w:rPr>
        <w:t xml:space="preserve"> have come along </w:t>
      </w:r>
      <w:r w:rsidR="00895DBE" w:rsidRPr="00A30FE3">
        <w:rPr>
          <w:rFonts w:asciiTheme="minorHAnsi" w:hAnsiTheme="minorHAnsi" w:cstheme="minorHAnsi"/>
          <w:sz w:val="22"/>
          <w:szCs w:val="22"/>
        </w:rPr>
        <w:t xml:space="preserve">to LPC meetings </w:t>
      </w:r>
      <w:r w:rsidRPr="00A30FE3">
        <w:rPr>
          <w:rFonts w:asciiTheme="minorHAnsi" w:hAnsiTheme="minorHAnsi" w:cstheme="minorHAnsi"/>
          <w:sz w:val="22"/>
          <w:szCs w:val="22"/>
        </w:rPr>
        <w:t xml:space="preserve">and some do so regularly, even bringing with them their pre-reg’s. </w:t>
      </w:r>
    </w:p>
    <w:p w14:paraId="447FC699" w14:textId="77777777" w:rsidR="00E3666B" w:rsidRPr="00A30FE3" w:rsidRDefault="00E3666B" w:rsidP="00E3666B">
      <w:pPr>
        <w:pStyle w:val="BodyText"/>
        <w:jc w:val="left"/>
        <w:rPr>
          <w:rFonts w:asciiTheme="minorHAnsi" w:hAnsiTheme="minorHAnsi" w:cstheme="minorHAnsi"/>
          <w:sz w:val="22"/>
          <w:szCs w:val="22"/>
        </w:rPr>
      </w:pPr>
    </w:p>
    <w:p w14:paraId="74F2A4A2" w14:textId="645686DC" w:rsidR="00E3666B" w:rsidRPr="00A30FE3" w:rsidRDefault="00E3666B" w:rsidP="00E3666B">
      <w:pPr>
        <w:spacing w:line="240" w:lineRule="auto"/>
        <w:rPr>
          <w:rFonts w:asciiTheme="minorHAnsi" w:hAnsiTheme="minorHAnsi" w:cstheme="minorHAnsi"/>
        </w:rPr>
      </w:pPr>
      <w:r w:rsidRPr="00A30FE3">
        <w:rPr>
          <w:rFonts w:asciiTheme="minorHAnsi" w:hAnsiTheme="minorHAnsi" w:cstheme="minorHAnsi"/>
        </w:rPr>
        <w:t xml:space="preserve">If you are interested in attending LPC meetings or just receiving the meeting papers to keep abreast of </w:t>
      </w:r>
      <w:r w:rsidR="002D3999" w:rsidRPr="00A30FE3">
        <w:rPr>
          <w:rFonts w:asciiTheme="minorHAnsi" w:hAnsiTheme="minorHAnsi" w:cstheme="minorHAnsi"/>
        </w:rPr>
        <w:t>things,</w:t>
      </w:r>
      <w:r w:rsidRPr="00A30FE3">
        <w:rPr>
          <w:rFonts w:asciiTheme="minorHAnsi" w:hAnsiTheme="minorHAnsi" w:cstheme="minorHAnsi"/>
        </w:rPr>
        <w:t xml:space="preserve"> then let Alison know so she can add you to the circulation list.</w:t>
      </w:r>
      <w:r w:rsidR="00901A39">
        <w:rPr>
          <w:rFonts w:asciiTheme="minorHAnsi" w:hAnsiTheme="minorHAnsi" w:cstheme="minorHAnsi"/>
        </w:rPr>
        <w:t xml:space="preserve"> We have been holding virtual LPC meetings recently due to COVID and will be doing so for the immediate future even if some element of face to face meetings are allowed – this may make it easier for pharmacy contractors to observe or engage with LPC meetings so please get in touch if you are interested in working with us to trial.</w:t>
      </w:r>
      <w:r w:rsidRPr="00A30FE3">
        <w:rPr>
          <w:rFonts w:asciiTheme="minorHAnsi" w:hAnsiTheme="minorHAnsi" w:cstheme="minorHAnsi"/>
        </w:rPr>
        <w:t xml:space="preserve"> We don’t routinely circulate LPC meeting papers to all contractors as we are conscious of the amount of information contractors are already receiving from other sources</w:t>
      </w:r>
      <w:r w:rsidR="002D3999">
        <w:rPr>
          <w:rFonts w:asciiTheme="minorHAnsi" w:hAnsiTheme="minorHAnsi" w:cstheme="minorHAnsi"/>
        </w:rPr>
        <w:t>, so it is a balance between keeping you informed and not overwhelming you and avoiding duplication. T</w:t>
      </w:r>
      <w:r w:rsidRPr="00A30FE3">
        <w:rPr>
          <w:rFonts w:asciiTheme="minorHAnsi" w:hAnsiTheme="minorHAnsi" w:cstheme="minorHAnsi"/>
        </w:rPr>
        <w:t xml:space="preserve">herefore are </w:t>
      </w:r>
      <w:r w:rsidR="00E26CA0" w:rsidRPr="00A30FE3">
        <w:rPr>
          <w:rFonts w:asciiTheme="minorHAnsi" w:hAnsiTheme="minorHAnsi" w:cstheme="minorHAnsi"/>
        </w:rPr>
        <w:t xml:space="preserve">continually </w:t>
      </w:r>
      <w:r w:rsidRPr="00A30FE3">
        <w:rPr>
          <w:rFonts w:asciiTheme="minorHAnsi" w:hAnsiTheme="minorHAnsi" w:cstheme="minorHAnsi"/>
        </w:rPr>
        <w:t xml:space="preserve">adding more to our </w:t>
      </w:r>
      <w:r w:rsidR="00593031" w:rsidRPr="00A30FE3">
        <w:rPr>
          <w:rFonts w:asciiTheme="minorHAnsi" w:hAnsiTheme="minorHAnsi" w:cstheme="minorHAnsi"/>
        </w:rPr>
        <w:t xml:space="preserve">website - </w:t>
      </w:r>
      <w:hyperlink r:id="rId13" w:history="1">
        <w:r w:rsidR="00F01EBD" w:rsidRPr="00A30FE3">
          <w:rPr>
            <w:rStyle w:val="Hyperlink"/>
            <w:rFonts w:asciiTheme="minorHAnsi" w:hAnsiTheme="minorHAnsi" w:cstheme="minorHAnsi"/>
          </w:rPr>
          <w:t>http://psnc.org.uk/nottinghamshire-lpc/</w:t>
        </w:r>
      </w:hyperlink>
      <w:r w:rsidR="002D3999">
        <w:rPr>
          <w:rFonts w:asciiTheme="minorHAnsi" w:hAnsiTheme="minorHAnsi" w:cstheme="minorHAnsi"/>
        </w:rPr>
        <w:t xml:space="preserve"> so information can be accessed when needed. If you have trouble finding things on the </w:t>
      </w:r>
      <w:proofErr w:type="gramStart"/>
      <w:r w:rsidR="002D3999">
        <w:rPr>
          <w:rFonts w:asciiTheme="minorHAnsi" w:hAnsiTheme="minorHAnsi" w:cstheme="minorHAnsi"/>
        </w:rPr>
        <w:t>website</w:t>
      </w:r>
      <w:proofErr w:type="gramEnd"/>
      <w:r w:rsidR="002D3999">
        <w:rPr>
          <w:rFonts w:asciiTheme="minorHAnsi" w:hAnsiTheme="minorHAnsi" w:cstheme="minorHAnsi"/>
        </w:rPr>
        <w:t xml:space="preserve"> then contact Alison with your feedback.</w:t>
      </w:r>
    </w:p>
    <w:p w14:paraId="524D1350" w14:textId="77777777" w:rsidR="009B52A1" w:rsidRPr="00A30FE3" w:rsidRDefault="009B52A1" w:rsidP="008919CB">
      <w:pPr>
        <w:pStyle w:val="BodyText"/>
        <w:jc w:val="left"/>
        <w:rPr>
          <w:rFonts w:asciiTheme="minorHAnsi" w:hAnsiTheme="minorHAnsi" w:cstheme="minorHAnsi"/>
          <w:sz w:val="22"/>
          <w:szCs w:val="22"/>
        </w:rPr>
      </w:pPr>
    </w:p>
    <w:p w14:paraId="71EAB907" w14:textId="77777777" w:rsidR="009B52A1" w:rsidRPr="00A30FE3" w:rsidRDefault="009B52A1" w:rsidP="008919CB">
      <w:pPr>
        <w:pStyle w:val="BodyText"/>
        <w:jc w:val="left"/>
        <w:rPr>
          <w:rFonts w:asciiTheme="minorHAnsi" w:hAnsiTheme="minorHAnsi" w:cstheme="minorHAnsi"/>
          <w:sz w:val="22"/>
          <w:szCs w:val="22"/>
        </w:rPr>
      </w:pPr>
    </w:p>
    <w:p w14:paraId="47CF4F6D" w14:textId="61B938E7" w:rsidR="008132B9" w:rsidRPr="00A30FE3" w:rsidRDefault="00E3666B" w:rsidP="00547DD3">
      <w:pPr>
        <w:spacing w:line="240" w:lineRule="auto"/>
        <w:rPr>
          <w:rFonts w:asciiTheme="minorHAnsi" w:hAnsiTheme="minorHAnsi" w:cstheme="minorHAnsi"/>
        </w:rPr>
      </w:pPr>
      <w:r w:rsidRPr="00A30FE3">
        <w:rPr>
          <w:rFonts w:asciiTheme="minorHAnsi" w:hAnsiTheme="minorHAnsi" w:cstheme="minorHAnsi"/>
          <w:b/>
        </w:rPr>
        <w:t>Clinical Commissioning Groups</w:t>
      </w:r>
      <w:r w:rsidR="00CD4691" w:rsidRPr="00A30FE3">
        <w:rPr>
          <w:rFonts w:asciiTheme="minorHAnsi" w:hAnsiTheme="minorHAnsi" w:cstheme="minorHAnsi"/>
          <w:b/>
        </w:rPr>
        <w:br/>
      </w:r>
      <w:r w:rsidR="00104F13" w:rsidRPr="00A30FE3">
        <w:rPr>
          <w:rFonts w:asciiTheme="minorHAnsi" w:hAnsiTheme="minorHAnsi" w:cstheme="minorHAnsi"/>
        </w:rPr>
        <w:t xml:space="preserve">The </w:t>
      </w:r>
      <w:r w:rsidR="00901A39">
        <w:rPr>
          <w:rFonts w:asciiTheme="minorHAnsi" w:hAnsiTheme="minorHAnsi" w:cstheme="minorHAnsi"/>
        </w:rPr>
        <w:t xml:space="preserve">merger of County </w:t>
      </w:r>
      <w:r w:rsidR="00104F13" w:rsidRPr="00A30FE3">
        <w:rPr>
          <w:rFonts w:asciiTheme="minorHAnsi" w:hAnsiTheme="minorHAnsi" w:cstheme="minorHAnsi"/>
        </w:rPr>
        <w:t>CCGs</w:t>
      </w:r>
      <w:r w:rsidR="00901A39">
        <w:rPr>
          <w:rFonts w:asciiTheme="minorHAnsi" w:hAnsiTheme="minorHAnsi" w:cstheme="minorHAnsi"/>
        </w:rPr>
        <w:t xml:space="preserve"> and City CCG</w:t>
      </w:r>
      <w:r w:rsidR="00104F13" w:rsidRPr="00A30FE3">
        <w:rPr>
          <w:rFonts w:asciiTheme="minorHAnsi" w:hAnsiTheme="minorHAnsi" w:cstheme="minorHAnsi"/>
        </w:rPr>
        <w:t xml:space="preserve"> </w:t>
      </w:r>
      <w:r w:rsidR="005E1212">
        <w:rPr>
          <w:rFonts w:asciiTheme="minorHAnsi" w:hAnsiTheme="minorHAnsi" w:cstheme="minorHAnsi"/>
        </w:rPr>
        <w:t xml:space="preserve">was finally </w:t>
      </w:r>
      <w:r w:rsidR="00901A39">
        <w:rPr>
          <w:rFonts w:asciiTheme="minorHAnsi" w:hAnsiTheme="minorHAnsi" w:cstheme="minorHAnsi"/>
        </w:rPr>
        <w:t>completed</w:t>
      </w:r>
      <w:r w:rsidR="005E1212">
        <w:rPr>
          <w:rFonts w:asciiTheme="minorHAnsi" w:hAnsiTheme="minorHAnsi" w:cstheme="minorHAnsi"/>
        </w:rPr>
        <w:t xml:space="preserve"> at the end of the year. This does make some things easier for the LPC because as processes are reviewed they are in the main brought into line so there is less variance across the patch although Bassetlaw remains aligned to the South Yorkshire NHS structure and so is a sperate CCG. </w:t>
      </w:r>
      <w:r w:rsidR="006E16BF" w:rsidRPr="00A30FE3">
        <w:rPr>
          <w:rFonts w:asciiTheme="minorHAnsi" w:hAnsiTheme="minorHAnsi" w:cstheme="minorHAnsi"/>
        </w:rPr>
        <w:t xml:space="preserve"> </w:t>
      </w:r>
      <w:r w:rsidR="005E1212">
        <w:rPr>
          <w:rFonts w:asciiTheme="minorHAnsi" w:hAnsiTheme="minorHAnsi" w:cstheme="minorHAnsi"/>
        </w:rPr>
        <w:t>T</w:t>
      </w:r>
      <w:r w:rsidR="00104F13" w:rsidRPr="00A30FE3">
        <w:rPr>
          <w:rFonts w:asciiTheme="minorHAnsi" w:hAnsiTheme="minorHAnsi" w:cstheme="minorHAnsi"/>
        </w:rPr>
        <w:t xml:space="preserve">he LPC is routinely involved in </w:t>
      </w:r>
      <w:r w:rsidR="005E1212">
        <w:rPr>
          <w:rFonts w:asciiTheme="minorHAnsi" w:hAnsiTheme="minorHAnsi" w:cstheme="minorHAnsi"/>
        </w:rPr>
        <w:t xml:space="preserve">the </w:t>
      </w:r>
      <w:r w:rsidR="004375AA">
        <w:rPr>
          <w:rFonts w:asciiTheme="minorHAnsi" w:hAnsiTheme="minorHAnsi" w:cstheme="minorHAnsi"/>
        </w:rPr>
        <w:t xml:space="preserve">CCGs </w:t>
      </w:r>
      <w:r w:rsidR="005E1212">
        <w:rPr>
          <w:rFonts w:asciiTheme="minorHAnsi" w:hAnsiTheme="minorHAnsi" w:cstheme="minorHAnsi"/>
        </w:rPr>
        <w:t>Medicines Optimisation Committee</w:t>
      </w:r>
      <w:r w:rsidR="004375AA">
        <w:rPr>
          <w:rFonts w:asciiTheme="minorHAnsi" w:hAnsiTheme="minorHAnsi" w:cstheme="minorHAnsi"/>
        </w:rPr>
        <w:t>s, although since the formal merger of the CCGs from 01 April 2020 there is now one overarching Medicines Optimisation Committee.</w:t>
      </w:r>
      <w:r w:rsidR="005E1212">
        <w:rPr>
          <w:rFonts w:asciiTheme="minorHAnsi" w:hAnsiTheme="minorHAnsi" w:cstheme="minorHAnsi"/>
        </w:rPr>
        <w:t xml:space="preserve"> We have recently stepped back from the Area Prescribing Committee (APC) because of workload pressure and finding it was hard to influence and so not adding value to our work. We also attend the Medicines Optimisation</w:t>
      </w:r>
      <w:r w:rsidR="001D7CA1">
        <w:rPr>
          <w:rFonts w:asciiTheme="minorHAnsi" w:hAnsiTheme="minorHAnsi" w:cstheme="minorHAnsi"/>
        </w:rPr>
        <w:t xml:space="preserve"> Programme Board which has the Chief Pharmacists from all local organisations involved including the acute trusts, community trust, AHSN, university, NHSE and CCG</w:t>
      </w:r>
      <w:r w:rsidR="005E1212">
        <w:rPr>
          <w:rFonts w:asciiTheme="minorHAnsi" w:hAnsiTheme="minorHAnsi" w:cstheme="minorHAnsi"/>
        </w:rPr>
        <w:t xml:space="preserve">. Unfortunately, the </w:t>
      </w:r>
      <w:r w:rsidR="001D7CA1">
        <w:rPr>
          <w:rFonts w:asciiTheme="minorHAnsi" w:hAnsiTheme="minorHAnsi" w:cstheme="minorHAnsi"/>
        </w:rPr>
        <w:t>proposed</w:t>
      </w:r>
      <w:r w:rsidR="005E1212">
        <w:rPr>
          <w:rFonts w:asciiTheme="minorHAnsi" w:hAnsiTheme="minorHAnsi" w:cstheme="minorHAnsi"/>
        </w:rPr>
        <w:t xml:space="preserve"> GP-DMIRS pilot with Rushcliffe CCG </w:t>
      </w:r>
      <w:proofErr w:type="gramStart"/>
      <w:r w:rsidR="005E1212">
        <w:rPr>
          <w:rFonts w:asciiTheme="minorHAnsi" w:hAnsiTheme="minorHAnsi" w:cstheme="minorHAnsi"/>
        </w:rPr>
        <w:t>wasn’t</w:t>
      </w:r>
      <w:proofErr w:type="gramEnd"/>
      <w:r w:rsidR="005E1212">
        <w:rPr>
          <w:rFonts w:asciiTheme="minorHAnsi" w:hAnsiTheme="minorHAnsi" w:cstheme="minorHAnsi"/>
        </w:rPr>
        <w:t xml:space="preserve"> accepted although we continue to work locally with NHSE to maximise the CPCS and link with the MAS service. </w:t>
      </w:r>
      <w:r w:rsidR="001D7CA1">
        <w:rPr>
          <w:rFonts w:asciiTheme="minorHAnsi" w:hAnsiTheme="minorHAnsi" w:cstheme="minorHAnsi"/>
        </w:rPr>
        <w:t>We were planning to work on further extending the MAS PGD service in 2020-21, but COVID has created other work pressures so delayed negotiations.</w:t>
      </w:r>
    </w:p>
    <w:p w14:paraId="7726EBCD" w14:textId="77777777" w:rsidR="00156BA3" w:rsidRPr="00A30FE3" w:rsidRDefault="00156BA3" w:rsidP="00E3666B">
      <w:pPr>
        <w:spacing w:line="240" w:lineRule="auto"/>
        <w:rPr>
          <w:rFonts w:asciiTheme="minorHAnsi" w:hAnsiTheme="minorHAnsi" w:cstheme="minorHAnsi"/>
        </w:rPr>
      </w:pPr>
    </w:p>
    <w:p w14:paraId="2B310432" w14:textId="06F41733" w:rsidR="003C3284" w:rsidRDefault="0015099E" w:rsidP="00E3666B">
      <w:pPr>
        <w:spacing w:line="240" w:lineRule="auto"/>
        <w:rPr>
          <w:rFonts w:asciiTheme="minorHAnsi" w:hAnsiTheme="minorHAnsi" w:cstheme="minorHAnsi"/>
        </w:rPr>
      </w:pPr>
      <w:r w:rsidRPr="00A30FE3">
        <w:rPr>
          <w:rFonts w:asciiTheme="minorHAnsi" w:hAnsiTheme="minorHAnsi" w:cstheme="minorHAnsi"/>
          <w:b/>
        </w:rPr>
        <w:t>NHS England</w:t>
      </w:r>
      <w:r w:rsidR="00CD4691" w:rsidRPr="00A30FE3">
        <w:rPr>
          <w:rFonts w:asciiTheme="minorHAnsi" w:hAnsiTheme="minorHAnsi" w:cstheme="minorHAnsi"/>
          <w:b/>
        </w:rPr>
        <w:br/>
      </w:r>
      <w:r w:rsidR="00812DBA" w:rsidRPr="00A30FE3">
        <w:rPr>
          <w:rFonts w:asciiTheme="minorHAnsi" w:hAnsiTheme="minorHAnsi" w:cstheme="minorHAnsi"/>
        </w:rPr>
        <w:t>We have maintained</w:t>
      </w:r>
      <w:r w:rsidRPr="00A30FE3">
        <w:rPr>
          <w:rFonts w:asciiTheme="minorHAnsi" w:hAnsiTheme="minorHAnsi" w:cstheme="minorHAnsi"/>
        </w:rPr>
        <w:t xml:space="preserve"> our excellent working relationship </w:t>
      </w:r>
      <w:r w:rsidR="00812DBA" w:rsidRPr="00A30FE3">
        <w:rPr>
          <w:rFonts w:asciiTheme="minorHAnsi" w:hAnsiTheme="minorHAnsi" w:cstheme="minorHAnsi"/>
        </w:rPr>
        <w:t xml:space="preserve">locally </w:t>
      </w:r>
      <w:r w:rsidRPr="00A30FE3">
        <w:rPr>
          <w:rFonts w:asciiTheme="minorHAnsi" w:hAnsiTheme="minorHAnsi" w:cstheme="minorHAnsi"/>
        </w:rPr>
        <w:t xml:space="preserve">with NHSE </w:t>
      </w:r>
      <w:r w:rsidR="00812DBA" w:rsidRPr="00A30FE3">
        <w:rPr>
          <w:rFonts w:asciiTheme="minorHAnsi" w:hAnsiTheme="minorHAnsi" w:cstheme="minorHAnsi"/>
        </w:rPr>
        <w:t>commissioners despite the</w:t>
      </w:r>
      <w:r w:rsidR="00437512" w:rsidRPr="00A30FE3">
        <w:rPr>
          <w:rFonts w:asciiTheme="minorHAnsi" w:hAnsiTheme="minorHAnsi" w:cstheme="minorHAnsi"/>
        </w:rPr>
        <w:t xml:space="preserve"> still ongoing merger with NHSI. We continue</w:t>
      </w:r>
      <w:r w:rsidR="005E1212">
        <w:rPr>
          <w:rFonts w:asciiTheme="minorHAnsi" w:hAnsiTheme="minorHAnsi" w:cstheme="minorHAnsi"/>
        </w:rPr>
        <w:t>d</w:t>
      </w:r>
      <w:r w:rsidR="00437512" w:rsidRPr="00A30FE3">
        <w:rPr>
          <w:rFonts w:asciiTheme="minorHAnsi" w:hAnsiTheme="minorHAnsi" w:cstheme="minorHAnsi"/>
        </w:rPr>
        <w:t xml:space="preserve"> to be active</w:t>
      </w:r>
      <w:r w:rsidR="001D7CA1">
        <w:rPr>
          <w:rFonts w:asciiTheme="minorHAnsi" w:hAnsiTheme="minorHAnsi" w:cstheme="minorHAnsi"/>
        </w:rPr>
        <w:t>ly involved</w:t>
      </w:r>
      <w:r w:rsidR="00437512" w:rsidRPr="00A30FE3">
        <w:rPr>
          <w:rFonts w:asciiTheme="minorHAnsi" w:hAnsiTheme="minorHAnsi" w:cstheme="minorHAnsi"/>
        </w:rPr>
        <w:t xml:space="preserve"> with </w:t>
      </w:r>
      <w:r w:rsidR="00812DBA" w:rsidRPr="00A30FE3">
        <w:rPr>
          <w:rFonts w:asciiTheme="minorHAnsi" w:hAnsiTheme="minorHAnsi" w:cstheme="minorHAnsi"/>
        </w:rPr>
        <w:t>the</w:t>
      </w:r>
      <w:r w:rsidR="00104F13" w:rsidRPr="00A30FE3">
        <w:rPr>
          <w:rFonts w:asciiTheme="minorHAnsi" w:hAnsiTheme="minorHAnsi" w:cstheme="minorHAnsi"/>
        </w:rPr>
        <w:t xml:space="preserve"> Local Professional Network</w:t>
      </w:r>
      <w:r w:rsidR="00812DBA" w:rsidRPr="00A30FE3">
        <w:rPr>
          <w:rFonts w:asciiTheme="minorHAnsi" w:hAnsiTheme="minorHAnsi" w:cstheme="minorHAnsi"/>
        </w:rPr>
        <w:t xml:space="preserve"> </w:t>
      </w:r>
      <w:r w:rsidR="001D7CA1">
        <w:rPr>
          <w:rFonts w:asciiTheme="minorHAnsi" w:hAnsiTheme="minorHAnsi" w:cstheme="minorHAnsi"/>
        </w:rPr>
        <w:t>and have</w:t>
      </w:r>
      <w:r w:rsidR="00D56DBD" w:rsidRPr="00A30FE3">
        <w:rPr>
          <w:rFonts w:asciiTheme="minorHAnsi" w:hAnsiTheme="minorHAnsi" w:cstheme="minorHAnsi"/>
        </w:rPr>
        <w:t xml:space="preserve"> work</w:t>
      </w:r>
      <w:r w:rsidR="001D7CA1">
        <w:rPr>
          <w:rFonts w:asciiTheme="minorHAnsi" w:hAnsiTheme="minorHAnsi" w:cstheme="minorHAnsi"/>
        </w:rPr>
        <w:t>ed</w:t>
      </w:r>
      <w:r w:rsidR="00D56DBD" w:rsidRPr="00A30FE3">
        <w:rPr>
          <w:rFonts w:asciiTheme="minorHAnsi" w:hAnsiTheme="minorHAnsi" w:cstheme="minorHAnsi"/>
        </w:rPr>
        <w:t xml:space="preserve"> on several initiatives</w:t>
      </w:r>
      <w:r w:rsidR="00437512" w:rsidRPr="00A30FE3">
        <w:rPr>
          <w:rFonts w:asciiTheme="minorHAnsi" w:hAnsiTheme="minorHAnsi" w:cstheme="minorHAnsi"/>
        </w:rPr>
        <w:t xml:space="preserve"> in collaboration with Derbyshire LPC</w:t>
      </w:r>
      <w:r w:rsidR="001D7CA1">
        <w:rPr>
          <w:rFonts w:asciiTheme="minorHAnsi" w:hAnsiTheme="minorHAnsi" w:cstheme="minorHAnsi"/>
        </w:rPr>
        <w:t xml:space="preserve"> through the LPN</w:t>
      </w:r>
      <w:r w:rsidR="00437512" w:rsidRPr="00A30FE3">
        <w:rPr>
          <w:rFonts w:asciiTheme="minorHAnsi" w:hAnsiTheme="minorHAnsi" w:cstheme="minorHAnsi"/>
        </w:rPr>
        <w:t xml:space="preserve"> – including extending the ENT MAS service to include UTI and providing additional training to manage pharmacist churn and further upskill the community pharmacy workforce</w:t>
      </w:r>
      <w:r w:rsidR="00D56DBD" w:rsidRPr="00A30FE3">
        <w:rPr>
          <w:rFonts w:asciiTheme="minorHAnsi" w:hAnsiTheme="minorHAnsi" w:cstheme="minorHAnsi"/>
        </w:rPr>
        <w:t xml:space="preserve">. Our biggest challenges </w:t>
      </w:r>
      <w:r w:rsidR="00437512" w:rsidRPr="00A30FE3">
        <w:rPr>
          <w:rFonts w:asciiTheme="minorHAnsi" w:hAnsiTheme="minorHAnsi" w:cstheme="minorHAnsi"/>
        </w:rPr>
        <w:t xml:space="preserve">continue to be that </w:t>
      </w:r>
      <w:r w:rsidR="001D7CA1">
        <w:rPr>
          <w:rFonts w:asciiTheme="minorHAnsi" w:hAnsiTheme="minorHAnsi" w:cstheme="minorHAnsi"/>
        </w:rPr>
        <w:t xml:space="preserve">the </w:t>
      </w:r>
      <w:r w:rsidR="00D56DBD" w:rsidRPr="00A30FE3">
        <w:rPr>
          <w:rFonts w:asciiTheme="minorHAnsi" w:hAnsiTheme="minorHAnsi" w:cstheme="minorHAnsi"/>
        </w:rPr>
        <w:t>funding available is non-</w:t>
      </w:r>
      <w:r w:rsidR="00437512" w:rsidRPr="00A30FE3">
        <w:rPr>
          <w:rFonts w:asciiTheme="minorHAnsi" w:hAnsiTheme="minorHAnsi" w:cstheme="minorHAnsi"/>
        </w:rPr>
        <w:t>recurrent,</w:t>
      </w:r>
      <w:r w:rsidR="00D56DBD" w:rsidRPr="00A30FE3">
        <w:rPr>
          <w:rFonts w:asciiTheme="minorHAnsi" w:hAnsiTheme="minorHAnsi" w:cstheme="minorHAnsi"/>
        </w:rPr>
        <w:t xml:space="preserve"> so </w:t>
      </w:r>
      <w:r w:rsidR="00437512" w:rsidRPr="00A30FE3">
        <w:rPr>
          <w:rFonts w:asciiTheme="minorHAnsi" w:hAnsiTheme="minorHAnsi" w:cstheme="minorHAnsi"/>
        </w:rPr>
        <w:t xml:space="preserve">services continue to be “pilots”. The AF / BP </w:t>
      </w:r>
      <w:r w:rsidR="001D7CA1">
        <w:rPr>
          <w:rFonts w:asciiTheme="minorHAnsi" w:hAnsiTheme="minorHAnsi" w:cstheme="minorHAnsi"/>
        </w:rPr>
        <w:t xml:space="preserve">service </w:t>
      </w:r>
      <w:r w:rsidR="00437512" w:rsidRPr="00A30FE3">
        <w:rPr>
          <w:rFonts w:asciiTheme="minorHAnsi" w:hAnsiTheme="minorHAnsi" w:cstheme="minorHAnsi"/>
        </w:rPr>
        <w:t>is also going well and the LPC encourages contractors to engage as much as they can while the funding exists</w:t>
      </w:r>
      <w:r w:rsidR="001D7CA1">
        <w:rPr>
          <w:rFonts w:asciiTheme="minorHAnsi" w:hAnsiTheme="minorHAnsi" w:cstheme="minorHAnsi"/>
        </w:rPr>
        <w:t xml:space="preserve"> so as much activity as possible can be achieved to increase the evidence base for further funding.</w:t>
      </w:r>
    </w:p>
    <w:p w14:paraId="3E2B9B5A" w14:textId="14C4F569" w:rsidR="005E1212" w:rsidRPr="00A30FE3" w:rsidRDefault="005E1212" w:rsidP="00E3666B">
      <w:pPr>
        <w:spacing w:line="240" w:lineRule="auto"/>
        <w:rPr>
          <w:rFonts w:asciiTheme="minorHAnsi" w:hAnsiTheme="minorHAnsi" w:cstheme="minorHAnsi"/>
        </w:rPr>
      </w:pPr>
      <w:r>
        <w:rPr>
          <w:rFonts w:asciiTheme="minorHAnsi" w:hAnsiTheme="minorHAnsi" w:cstheme="minorHAnsi"/>
        </w:rPr>
        <w:lastRenderedPageBreak/>
        <w:t xml:space="preserve">All services details are available on the LPC website on the services tab at </w:t>
      </w:r>
      <w:hyperlink r:id="rId14" w:history="1">
        <w:r>
          <w:rPr>
            <w:rStyle w:val="Hyperlink"/>
          </w:rPr>
          <w:t>https://psnc.org.uk/nottinghamshire-lpc/services/</w:t>
        </w:r>
      </w:hyperlink>
    </w:p>
    <w:p w14:paraId="2AE9E5B2" w14:textId="4ACE7746" w:rsidR="00437512" w:rsidRPr="00A30FE3" w:rsidRDefault="00437512" w:rsidP="00E3666B">
      <w:pPr>
        <w:spacing w:line="240" w:lineRule="auto"/>
        <w:rPr>
          <w:rFonts w:asciiTheme="minorHAnsi" w:hAnsiTheme="minorHAnsi" w:cstheme="minorHAnsi"/>
        </w:rPr>
      </w:pPr>
      <w:r w:rsidRPr="00A30FE3">
        <w:rPr>
          <w:rFonts w:asciiTheme="minorHAnsi" w:hAnsiTheme="minorHAnsi" w:cstheme="minorHAnsi"/>
        </w:rPr>
        <w:t>Transfer of Care Around Medicines (TCAM</w:t>
      </w:r>
      <w:r w:rsidR="001D7CA1">
        <w:rPr>
          <w:rFonts w:asciiTheme="minorHAnsi" w:hAnsiTheme="minorHAnsi" w:cstheme="minorHAnsi"/>
        </w:rPr>
        <w:t>s</w:t>
      </w:r>
      <w:r w:rsidRPr="00A30FE3">
        <w:rPr>
          <w:rFonts w:asciiTheme="minorHAnsi" w:hAnsiTheme="minorHAnsi" w:cstheme="minorHAnsi"/>
        </w:rPr>
        <w:t xml:space="preserve">) </w:t>
      </w:r>
      <w:r w:rsidR="005E1212">
        <w:rPr>
          <w:rFonts w:asciiTheme="minorHAnsi" w:hAnsiTheme="minorHAnsi" w:cstheme="minorHAnsi"/>
        </w:rPr>
        <w:t xml:space="preserve">continues to develop and is becoming business as usual. </w:t>
      </w:r>
    </w:p>
    <w:p w14:paraId="621B8857" w14:textId="77777777" w:rsidR="00437512" w:rsidRPr="00A30FE3" w:rsidRDefault="00437512" w:rsidP="00E3666B">
      <w:pPr>
        <w:spacing w:line="240" w:lineRule="auto"/>
        <w:rPr>
          <w:rFonts w:asciiTheme="minorHAnsi" w:hAnsiTheme="minorHAnsi" w:cstheme="minorHAnsi"/>
        </w:rPr>
      </w:pPr>
    </w:p>
    <w:p w14:paraId="78EA5D35" w14:textId="1D0D0BED" w:rsidR="00D56DBD" w:rsidRPr="00A30FE3" w:rsidRDefault="00156BA3" w:rsidP="00E3666B">
      <w:pPr>
        <w:spacing w:line="240" w:lineRule="auto"/>
        <w:rPr>
          <w:rFonts w:asciiTheme="minorHAnsi" w:hAnsiTheme="minorHAnsi" w:cstheme="minorHAnsi"/>
        </w:rPr>
      </w:pPr>
      <w:r w:rsidRPr="00A30FE3">
        <w:rPr>
          <w:rFonts w:asciiTheme="minorHAnsi" w:hAnsiTheme="minorHAnsi" w:cstheme="minorHAnsi"/>
          <w:b/>
        </w:rPr>
        <w:t>Local Authorities</w:t>
      </w:r>
      <w:r w:rsidR="00CD4691" w:rsidRPr="00A30FE3">
        <w:rPr>
          <w:rFonts w:asciiTheme="minorHAnsi" w:hAnsiTheme="minorHAnsi" w:cstheme="minorHAnsi"/>
          <w:b/>
        </w:rPr>
        <w:br/>
      </w:r>
      <w:r w:rsidR="009B52A1" w:rsidRPr="00A30FE3">
        <w:rPr>
          <w:rFonts w:asciiTheme="minorHAnsi" w:hAnsiTheme="minorHAnsi" w:cstheme="minorHAnsi"/>
        </w:rPr>
        <w:t xml:space="preserve">The LPC </w:t>
      </w:r>
      <w:r w:rsidR="002514AD" w:rsidRPr="00A30FE3">
        <w:rPr>
          <w:rFonts w:asciiTheme="minorHAnsi" w:hAnsiTheme="minorHAnsi" w:cstheme="minorHAnsi"/>
        </w:rPr>
        <w:t>continues to meet</w:t>
      </w:r>
      <w:r w:rsidR="009B52A1" w:rsidRPr="00A30FE3">
        <w:rPr>
          <w:rFonts w:asciiTheme="minorHAnsi" w:hAnsiTheme="minorHAnsi" w:cstheme="minorHAnsi"/>
        </w:rPr>
        <w:t xml:space="preserve"> regularly with the </w:t>
      </w:r>
      <w:r w:rsidR="003C3284" w:rsidRPr="00A30FE3">
        <w:rPr>
          <w:rFonts w:asciiTheme="minorHAnsi" w:hAnsiTheme="minorHAnsi" w:cstheme="minorHAnsi"/>
        </w:rPr>
        <w:t>two-upper</w:t>
      </w:r>
      <w:r w:rsidR="009B52A1" w:rsidRPr="00A30FE3">
        <w:rPr>
          <w:rFonts w:asciiTheme="minorHAnsi" w:hAnsiTheme="minorHAnsi" w:cstheme="minorHAnsi"/>
        </w:rPr>
        <w:t xml:space="preserve"> tier local authorities</w:t>
      </w:r>
      <w:r w:rsidR="00BC1F39" w:rsidRPr="00A30FE3">
        <w:rPr>
          <w:rFonts w:asciiTheme="minorHAnsi" w:hAnsiTheme="minorHAnsi" w:cstheme="minorHAnsi"/>
        </w:rPr>
        <w:t xml:space="preserve"> – County and City Councils</w:t>
      </w:r>
      <w:r w:rsidR="009B0FAB">
        <w:rPr>
          <w:rFonts w:asciiTheme="minorHAnsi" w:hAnsiTheme="minorHAnsi" w:cstheme="minorHAnsi"/>
        </w:rPr>
        <w:t xml:space="preserve">. We have focussed our time on building relationships with the ICS and its sub-organisations the ICPs (Integrated Care Partnerships) and the newly formed primary care networks (PCNs) so have not attended so many Health and Wellbeing Board (HWB) Meetings. The </w:t>
      </w:r>
      <w:r w:rsidR="001D7CA1">
        <w:rPr>
          <w:rFonts w:asciiTheme="minorHAnsi" w:hAnsiTheme="minorHAnsi" w:cstheme="minorHAnsi"/>
        </w:rPr>
        <w:t xml:space="preserve">County </w:t>
      </w:r>
      <w:r w:rsidR="009B0FAB">
        <w:rPr>
          <w:rFonts w:asciiTheme="minorHAnsi" w:hAnsiTheme="minorHAnsi" w:cstheme="minorHAnsi"/>
        </w:rPr>
        <w:t xml:space="preserve">HWB </w:t>
      </w:r>
      <w:proofErr w:type="gramStart"/>
      <w:r w:rsidR="009B0FAB">
        <w:rPr>
          <w:rFonts w:asciiTheme="minorHAnsi" w:hAnsiTheme="minorHAnsi" w:cstheme="minorHAnsi"/>
        </w:rPr>
        <w:t>hasn’t</w:t>
      </w:r>
      <w:proofErr w:type="gramEnd"/>
      <w:r w:rsidR="009B0FAB">
        <w:rPr>
          <w:rFonts w:asciiTheme="minorHAnsi" w:hAnsiTheme="minorHAnsi" w:cstheme="minorHAnsi"/>
        </w:rPr>
        <w:t xml:space="preserve"> had the workshops it previously did as the ICS has run more around the clinical strategy development work instead.</w:t>
      </w:r>
    </w:p>
    <w:p w14:paraId="46BF42DF" w14:textId="50F103D3" w:rsidR="009F5954" w:rsidRPr="00A30FE3" w:rsidRDefault="00E3666B" w:rsidP="00E3666B">
      <w:pPr>
        <w:spacing w:line="240" w:lineRule="auto"/>
        <w:rPr>
          <w:rFonts w:asciiTheme="minorHAnsi" w:hAnsiTheme="minorHAnsi" w:cstheme="minorHAnsi"/>
        </w:rPr>
      </w:pPr>
      <w:r w:rsidRPr="00A30FE3">
        <w:rPr>
          <w:rFonts w:asciiTheme="minorHAnsi" w:hAnsiTheme="minorHAnsi" w:cstheme="minorHAnsi"/>
          <w:b/>
        </w:rPr>
        <w:t>Media and PR</w:t>
      </w:r>
      <w:r w:rsidR="00CD4691" w:rsidRPr="00A30FE3">
        <w:rPr>
          <w:rFonts w:asciiTheme="minorHAnsi" w:hAnsiTheme="minorHAnsi" w:cstheme="minorHAnsi"/>
          <w:b/>
        </w:rPr>
        <w:br/>
      </w:r>
      <w:r w:rsidRPr="00A30FE3">
        <w:rPr>
          <w:rFonts w:asciiTheme="minorHAnsi" w:hAnsiTheme="minorHAnsi" w:cstheme="minorHAnsi"/>
        </w:rPr>
        <w:t xml:space="preserve">The LPC has </w:t>
      </w:r>
      <w:r w:rsidR="00B1461B" w:rsidRPr="00A30FE3">
        <w:rPr>
          <w:rFonts w:asciiTheme="minorHAnsi" w:hAnsiTheme="minorHAnsi" w:cstheme="minorHAnsi"/>
        </w:rPr>
        <w:t xml:space="preserve">continued its relationships with our MPs </w:t>
      </w:r>
      <w:r w:rsidR="00BC1F39" w:rsidRPr="00A30FE3">
        <w:rPr>
          <w:rFonts w:asciiTheme="minorHAnsi" w:hAnsiTheme="minorHAnsi" w:cstheme="minorHAnsi"/>
        </w:rPr>
        <w:t>and local councillors</w:t>
      </w:r>
      <w:r w:rsidR="00B37569" w:rsidRPr="00A30FE3">
        <w:rPr>
          <w:rFonts w:asciiTheme="minorHAnsi" w:hAnsiTheme="minorHAnsi" w:cstheme="minorHAnsi"/>
        </w:rPr>
        <w:t xml:space="preserve"> </w:t>
      </w:r>
      <w:r w:rsidR="009F5954" w:rsidRPr="00A30FE3">
        <w:rPr>
          <w:rFonts w:asciiTheme="minorHAnsi" w:hAnsiTheme="minorHAnsi" w:cstheme="minorHAnsi"/>
        </w:rPr>
        <w:t>including pharmacy visits and meetings to discuss funding and current issues contractors are facing.</w:t>
      </w:r>
      <w:r w:rsidR="009B0FAB">
        <w:rPr>
          <w:rFonts w:asciiTheme="minorHAnsi" w:hAnsiTheme="minorHAnsi" w:cstheme="minorHAnsi"/>
        </w:rPr>
        <w:t xml:space="preserve"> Details are on the LPC website at </w:t>
      </w:r>
      <w:hyperlink r:id="rId15" w:history="1">
        <w:r w:rsidR="009B0FAB" w:rsidRPr="002A2ED9">
          <w:rPr>
            <w:rStyle w:val="Hyperlink"/>
            <w:rFonts w:asciiTheme="minorHAnsi" w:hAnsiTheme="minorHAnsi" w:cstheme="minorHAnsi"/>
          </w:rPr>
          <w:t>https://psnc.org.uk/nottinghamshire-lpc/mp-visits/</w:t>
        </w:r>
      </w:hyperlink>
      <w:r w:rsidR="009B0FAB">
        <w:rPr>
          <w:rFonts w:asciiTheme="minorHAnsi" w:hAnsiTheme="minorHAnsi" w:cstheme="minorHAnsi"/>
        </w:rPr>
        <w:t xml:space="preserve"> although plans for 2020/21 have had to be paused due to COVID.</w:t>
      </w:r>
      <w:r w:rsidR="00C456CD" w:rsidRPr="00A30FE3">
        <w:rPr>
          <w:rFonts w:asciiTheme="minorHAnsi" w:hAnsiTheme="minorHAnsi" w:cstheme="minorHAnsi"/>
        </w:rPr>
        <w:t xml:space="preserve"> If any pharmacy teams are interested in being further involved in our work with local</w:t>
      </w:r>
      <w:r w:rsidR="001D7CA1">
        <w:rPr>
          <w:rFonts w:asciiTheme="minorHAnsi" w:hAnsiTheme="minorHAnsi" w:cstheme="minorHAnsi"/>
        </w:rPr>
        <w:t xml:space="preserve"> </w:t>
      </w:r>
      <w:proofErr w:type="gramStart"/>
      <w:r w:rsidR="001D7CA1">
        <w:rPr>
          <w:rFonts w:asciiTheme="minorHAnsi" w:hAnsiTheme="minorHAnsi" w:cstheme="minorHAnsi"/>
        </w:rPr>
        <w:t>politicians</w:t>
      </w:r>
      <w:proofErr w:type="gramEnd"/>
      <w:r w:rsidR="001D7CA1">
        <w:rPr>
          <w:rFonts w:asciiTheme="minorHAnsi" w:hAnsiTheme="minorHAnsi" w:cstheme="minorHAnsi"/>
        </w:rPr>
        <w:t xml:space="preserve"> </w:t>
      </w:r>
      <w:r w:rsidR="00C456CD" w:rsidRPr="00A30FE3">
        <w:rPr>
          <w:rFonts w:asciiTheme="minorHAnsi" w:hAnsiTheme="minorHAnsi" w:cstheme="minorHAnsi"/>
        </w:rPr>
        <w:t>then please contact us.</w:t>
      </w:r>
    </w:p>
    <w:p w14:paraId="1A689E60" w14:textId="44BEDB62" w:rsidR="009F5954" w:rsidRPr="00A30FE3" w:rsidRDefault="009F5954" w:rsidP="00E3666B">
      <w:pPr>
        <w:spacing w:line="240" w:lineRule="auto"/>
        <w:rPr>
          <w:rFonts w:asciiTheme="minorHAnsi" w:hAnsiTheme="minorHAnsi" w:cstheme="minorHAnsi"/>
        </w:rPr>
      </w:pPr>
    </w:p>
    <w:p w14:paraId="5073CB74" w14:textId="4EBDC64A" w:rsidR="009F5954" w:rsidRPr="00A30FE3" w:rsidRDefault="00C456CD" w:rsidP="00E3666B">
      <w:pPr>
        <w:spacing w:line="240" w:lineRule="auto"/>
        <w:rPr>
          <w:rFonts w:asciiTheme="minorHAnsi" w:hAnsiTheme="minorHAnsi" w:cstheme="minorHAnsi"/>
        </w:rPr>
      </w:pPr>
      <w:r w:rsidRPr="00A30FE3">
        <w:rPr>
          <w:rFonts w:asciiTheme="minorHAnsi" w:hAnsiTheme="minorHAnsi" w:cstheme="minorHAnsi"/>
          <w:b/>
        </w:rPr>
        <w:t xml:space="preserve">Integrated Care System (ICS) – was </w:t>
      </w:r>
      <w:r w:rsidR="009F5954" w:rsidRPr="00A30FE3">
        <w:rPr>
          <w:rFonts w:asciiTheme="minorHAnsi" w:hAnsiTheme="minorHAnsi" w:cstheme="minorHAnsi"/>
          <w:b/>
        </w:rPr>
        <w:t>STP</w:t>
      </w:r>
      <w:r w:rsidR="009F5954" w:rsidRPr="00A30FE3">
        <w:rPr>
          <w:rFonts w:asciiTheme="minorHAnsi" w:hAnsiTheme="minorHAnsi" w:cstheme="minorHAnsi"/>
          <w:b/>
        </w:rPr>
        <w:br/>
      </w:r>
      <w:r w:rsidRPr="00A30FE3">
        <w:rPr>
          <w:rFonts w:asciiTheme="minorHAnsi" w:hAnsiTheme="minorHAnsi" w:cstheme="minorHAnsi"/>
        </w:rPr>
        <w:t>Despite the ICS structure and workstreams changing several times during the year t</w:t>
      </w:r>
      <w:r w:rsidR="00B0556B" w:rsidRPr="00A30FE3">
        <w:rPr>
          <w:rFonts w:asciiTheme="minorHAnsi" w:hAnsiTheme="minorHAnsi" w:cstheme="minorHAnsi"/>
        </w:rPr>
        <w:t xml:space="preserve">he LPC </w:t>
      </w:r>
      <w:r w:rsidRPr="00A30FE3">
        <w:rPr>
          <w:rFonts w:asciiTheme="minorHAnsi" w:hAnsiTheme="minorHAnsi" w:cstheme="minorHAnsi"/>
        </w:rPr>
        <w:t>is still well</w:t>
      </w:r>
      <w:r w:rsidR="00B0556B" w:rsidRPr="00A30FE3">
        <w:rPr>
          <w:rFonts w:asciiTheme="minorHAnsi" w:hAnsiTheme="minorHAnsi" w:cstheme="minorHAnsi"/>
        </w:rPr>
        <w:t xml:space="preserve"> positioned </w:t>
      </w:r>
      <w:r w:rsidRPr="00A30FE3">
        <w:rPr>
          <w:rFonts w:asciiTheme="minorHAnsi" w:hAnsiTheme="minorHAnsi" w:cstheme="minorHAnsi"/>
        </w:rPr>
        <w:t>to influence</w:t>
      </w:r>
      <w:r w:rsidR="00B0556B" w:rsidRPr="00A30FE3">
        <w:rPr>
          <w:rFonts w:asciiTheme="minorHAnsi" w:hAnsiTheme="minorHAnsi" w:cstheme="minorHAnsi"/>
        </w:rPr>
        <w:t xml:space="preserve"> so that community pharmacy is well represented on all the key workstreams</w:t>
      </w:r>
      <w:r w:rsidR="0024447F" w:rsidRPr="00A30FE3">
        <w:rPr>
          <w:rFonts w:asciiTheme="minorHAnsi" w:hAnsiTheme="minorHAnsi" w:cstheme="minorHAnsi"/>
        </w:rPr>
        <w:t>.</w:t>
      </w:r>
      <w:r w:rsidRPr="00A30FE3">
        <w:rPr>
          <w:rFonts w:asciiTheme="minorHAnsi" w:hAnsiTheme="minorHAnsi" w:cstheme="minorHAnsi"/>
        </w:rPr>
        <w:t xml:space="preserve"> We have been key partners in the Clinical Strategy Redesign work </w:t>
      </w:r>
      <w:proofErr w:type="gramStart"/>
      <w:r w:rsidRPr="00A30FE3">
        <w:rPr>
          <w:rFonts w:asciiTheme="minorHAnsi" w:hAnsiTheme="minorHAnsi" w:cstheme="minorHAnsi"/>
        </w:rPr>
        <w:t>and also</w:t>
      </w:r>
      <w:proofErr w:type="gramEnd"/>
      <w:r w:rsidRPr="00A30FE3">
        <w:rPr>
          <w:rFonts w:asciiTheme="minorHAnsi" w:hAnsiTheme="minorHAnsi" w:cstheme="minorHAnsi"/>
        </w:rPr>
        <w:t xml:space="preserve"> contribute to the Medicines Optimisation workstream as well as the ICS partnership board. </w:t>
      </w:r>
      <w:r w:rsidR="00BF6F43" w:rsidRPr="00A30FE3">
        <w:rPr>
          <w:rFonts w:asciiTheme="minorHAnsi" w:hAnsiTheme="minorHAnsi" w:cstheme="minorHAnsi"/>
        </w:rPr>
        <w:t>Below the ICS there are now three Integrated Care Partnerships (ICPs) – mid-Notts, South Notts and City</w:t>
      </w:r>
      <w:r w:rsidR="001D7CA1">
        <w:rPr>
          <w:rFonts w:asciiTheme="minorHAnsi" w:hAnsiTheme="minorHAnsi" w:cstheme="minorHAnsi"/>
        </w:rPr>
        <w:t xml:space="preserve">. In addition to this </w:t>
      </w:r>
      <w:r w:rsidR="00BF6F43" w:rsidRPr="00A30FE3">
        <w:rPr>
          <w:rFonts w:asciiTheme="minorHAnsi" w:hAnsiTheme="minorHAnsi" w:cstheme="minorHAnsi"/>
        </w:rPr>
        <w:t xml:space="preserve">Bassetlaw sits in the South Yorkshire and Bassetlaw ICS. </w:t>
      </w:r>
    </w:p>
    <w:p w14:paraId="1385EB96" w14:textId="77777777" w:rsidR="00EB7460" w:rsidRPr="00A30FE3" w:rsidRDefault="00EB7460" w:rsidP="00EB7460">
      <w:pPr>
        <w:spacing w:line="240" w:lineRule="auto"/>
        <w:rPr>
          <w:rFonts w:asciiTheme="minorHAnsi" w:hAnsiTheme="minorHAnsi" w:cstheme="minorHAnsi"/>
          <w:spacing w:val="-6"/>
        </w:rPr>
      </w:pPr>
    </w:p>
    <w:p w14:paraId="13AB8840" w14:textId="5CB6A596" w:rsidR="009B52A1" w:rsidRPr="00A30FE3" w:rsidRDefault="004D2F76" w:rsidP="009B52A1">
      <w:pPr>
        <w:rPr>
          <w:rFonts w:asciiTheme="minorHAnsi" w:hAnsiTheme="minorHAnsi" w:cstheme="minorHAnsi"/>
        </w:rPr>
      </w:pPr>
      <w:r w:rsidRPr="00A30FE3">
        <w:rPr>
          <w:rFonts w:asciiTheme="minorHAnsi" w:hAnsiTheme="minorHAnsi" w:cstheme="minorHAnsi"/>
        </w:rPr>
        <w:t>Finally,</w:t>
      </w:r>
      <w:r w:rsidR="009B52A1" w:rsidRPr="00A30FE3">
        <w:rPr>
          <w:rFonts w:asciiTheme="minorHAnsi" w:hAnsiTheme="minorHAnsi" w:cstheme="minorHAnsi"/>
        </w:rPr>
        <w:t xml:space="preserve"> all the LPC members give up their ti</w:t>
      </w:r>
      <w:r w:rsidR="00EB7460" w:rsidRPr="00A30FE3">
        <w:rPr>
          <w:rFonts w:asciiTheme="minorHAnsi" w:hAnsiTheme="minorHAnsi" w:cstheme="minorHAnsi"/>
        </w:rPr>
        <w:t>me as volunteers and the work they</w:t>
      </w:r>
      <w:r w:rsidR="009B52A1" w:rsidRPr="00A30FE3">
        <w:rPr>
          <w:rFonts w:asciiTheme="minorHAnsi" w:hAnsiTheme="minorHAnsi" w:cstheme="minorHAnsi"/>
        </w:rPr>
        <w:t xml:space="preserve"> do is for you and to represent your interests. To do this more effectively we need your input. Please tell us </w:t>
      </w:r>
      <w:proofErr w:type="gramStart"/>
      <w:r w:rsidR="009B52A1" w:rsidRPr="00A30FE3">
        <w:rPr>
          <w:rFonts w:asciiTheme="minorHAnsi" w:hAnsiTheme="minorHAnsi" w:cstheme="minorHAnsi"/>
        </w:rPr>
        <w:t>what’s</w:t>
      </w:r>
      <w:proofErr w:type="gramEnd"/>
      <w:r w:rsidR="009B52A1" w:rsidRPr="00A30FE3">
        <w:rPr>
          <w:rFonts w:asciiTheme="minorHAnsi" w:hAnsiTheme="minorHAnsi" w:cstheme="minorHAnsi"/>
        </w:rPr>
        <w:t xml:space="preserve"> important to you and how we can help you further. If you have identified a</w:t>
      </w:r>
      <w:r w:rsidR="001D7CA1">
        <w:rPr>
          <w:rFonts w:asciiTheme="minorHAnsi" w:hAnsiTheme="minorHAnsi" w:cstheme="minorHAnsi"/>
        </w:rPr>
        <w:t xml:space="preserve"> </w:t>
      </w:r>
      <w:proofErr w:type="gramStart"/>
      <w:r w:rsidR="009B52A1" w:rsidRPr="00A30FE3">
        <w:rPr>
          <w:rFonts w:asciiTheme="minorHAnsi" w:hAnsiTheme="minorHAnsi" w:cstheme="minorHAnsi"/>
        </w:rPr>
        <w:t>particular local</w:t>
      </w:r>
      <w:proofErr w:type="gramEnd"/>
      <w:r w:rsidR="009B52A1" w:rsidRPr="00A30FE3">
        <w:rPr>
          <w:rFonts w:asciiTheme="minorHAnsi" w:hAnsiTheme="minorHAnsi" w:cstheme="minorHAnsi"/>
        </w:rPr>
        <w:t xml:space="preserve"> need and want help from the LPC in progressing </w:t>
      </w:r>
      <w:r w:rsidR="009B0FAB" w:rsidRPr="00A30FE3">
        <w:rPr>
          <w:rFonts w:asciiTheme="minorHAnsi" w:hAnsiTheme="minorHAnsi" w:cstheme="minorHAnsi"/>
        </w:rPr>
        <w:t>this,</w:t>
      </w:r>
      <w:r w:rsidR="009B52A1" w:rsidRPr="00A30FE3">
        <w:rPr>
          <w:rFonts w:asciiTheme="minorHAnsi" w:hAnsiTheme="minorHAnsi" w:cstheme="minorHAnsi"/>
        </w:rPr>
        <w:t xml:space="preserve"> then please get in touch. The LPC meeting dates are on the website and any contractor or their representative </w:t>
      </w:r>
      <w:r w:rsidR="001D7CA1">
        <w:rPr>
          <w:rFonts w:asciiTheme="minorHAnsi" w:hAnsiTheme="minorHAnsi" w:cstheme="minorHAnsi"/>
        </w:rPr>
        <w:t>can</w:t>
      </w:r>
      <w:r w:rsidR="009B52A1" w:rsidRPr="00A30FE3">
        <w:rPr>
          <w:rFonts w:asciiTheme="minorHAnsi" w:hAnsiTheme="minorHAnsi" w:cstheme="minorHAnsi"/>
        </w:rPr>
        <w:t xml:space="preserve"> come along as</w:t>
      </w:r>
      <w:r w:rsidR="004B2AA1" w:rsidRPr="00A30FE3">
        <w:rPr>
          <w:rFonts w:asciiTheme="minorHAnsi" w:hAnsiTheme="minorHAnsi" w:cstheme="minorHAnsi"/>
        </w:rPr>
        <w:t xml:space="preserve"> an observer. Please contact</w:t>
      </w:r>
      <w:r w:rsidR="00EB7460" w:rsidRPr="00A30FE3">
        <w:rPr>
          <w:rFonts w:asciiTheme="minorHAnsi" w:hAnsiTheme="minorHAnsi" w:cstheme="minorHAnsi"/>
        </w:rPr>
        <w:t xml:space="preserve"> Alison </w:t>
      </w:r>
      <w:r w:rsidR="009B52A1" w:rsidRPr="00A30FE3">
        <w:rPr>
          <w:rFonts w:asciiTheme="minorHAnsi" w:hAnsiTheme="minorHAnsi" w:cstheme="minorHAnsi"/>
        </w:rPr>
        <w:t xml:space="preserve">in advance for further details. </w:t>
      </w:r>
    </w:p>
    <w:p w14:paraId="504D447B" w14:textId="3E1C7A9F" w:rsidR="0056538E" w:rsidRPr="00A30FE3" w:rsidRDefault="0056538E" w:rsidP="009B52A1">
      <w:pPr>
        <w:rPr>
          <w:rFonts w:asciiTheme="minorHAnsi" w:hAnsiTheme="minorHAnsi" w:cstheme="minorHAnsi"/>
        </w:rPr>
      </w:pPr>
      <w:r w:rsidRPr="00A30FE3">
        <w:rPr>
          <w:rFonts w:asciiTheme="minorHAnsi" w:hAnsiTheme="minorHAnsi" w:cstheme="minorHAnsi"/>
        </w:rPr>
        <w:t>… and a final “finally” – thanks to Alison who keep</w:t>
      </w:r>
      <w:r w:rsidR="007357DF">
        <w:rPr>
          <w:rFonts w:asciiTheme="minorHAnsi" w:hAnsiTheme="minorHAnsi" w:cstheme="minorHAnsi"/>
        </w:rPr>
        <w:t>s</w:t>
      </w:r>
      <w:r w:rsidRPr="00A30FE3">
        <w:rPr>
          <w:rFonts w:asciiTheme="minorHAnsi" w:hAnsiTheme="minorHAnsi" w:cstheme="minorHAnsi"/>
        </w:rPr>
        <w:t xml:space="preserve"> LPC members and me organised, sends all the emails to contractors, updates the website </w:t>
      </w:r>
      <w:r w:rsidR="004D2F76" w:rsidRPr="00A30FE3">
        <w:rPr>
          <w:rFonts w:asciiTheme="minorHAnsi" w:hAnsiTheme="minorHAnsi" w:cstheme="minorHAnsi"/>
        </w:rPr>
        <w:t>and has worked painstakingly on the comprehensive contractor events</w:t>
      </w:r>
      <w:r w:rsidR="00BF6F43" w:rsidRPr="00A30FE3">
        <w:rPr>
          <w:rFonts w:asciiTheme="minorHAnsi" w:hAnsiTheme="minorHAnsi" w:cstheme="minorHAnsi"/>
        </w:rPr>
        <w:t xml:space="preserve"> with Liam from Metaphor</w:t>
      </w:r>
      <w:r w:rsidR="004D2F76" w:rsidRPr="00A30FE3">
        <w:rPr>
          <w:rFonts w:asciiTheme="minorHAnsi" w:hAnsiTheme="minorHAnsi" w:cstheme="minorHAnsi"/>
        </w:rPr>
        <w:t>, in addition to all the mundane tasks like minutes and governance support</w:t>
      </w:r>
      <w:r w:rsidRPr="00A30FE3">
        <w:rPr>
          <w:rFonts w:asciiTheme="minorHAnsi" w:hAnsiTheme="minorHAnsi" w:cstheme="minorHAnsi"/>
        </w:rPr>
        <w:t>.</w:t>
      </w:r>
    </w:p>
    <w:p w14:paraId="6E852CEB" w14:textId="77777777" w:rsidR="00B900F8" w:rsidRPr="00A30FE3" w:rsidRDefault="004D2F76" w:rsidP="009B52A1">
      <w:pPr>
        <w:rPr>
          <w:rFonts w:asciiTheme="minorHAnsi" w:hAnsiTheme="minorHAnsi" w:cstheme="minorHAnsi"/>
        </w:rPr>
      </w:pPr>
      <w:r w:rsidRPr="00A30FE3">
        <w:rPr>
          <w:rFonts w:asciiTheme="minorHAnsi" w:hAnsiTheme="minorHAnsi" w:cstheme="minorHAnsi"/>
        </w:rPr>
        <w:lastRenderedPageBreak/>
        <w:t>This report, along with the Chairman’s report, Treasurers report and member reports constitutes the LPCs annual report to its contractors and a</w:t>
      </w:r>
      <w:r w:rsidR="009B52A1" w:rsidRPr="00A30FE3">
        <w:rPr>
          <w:rFonts w:asciiTheme="minorHAnsi" w:hAnsiTheme="minorHAnsi" w:cstheme="minorHAnsi"/>
        </w:rPr>
        <w:t xml:space="preserve">s always contractors requiring further information on anything in this report or otherwise </w:t>
      </w:r>
      <w:proofErr w:type="gramStart"/>
      <w:r w:rsidR="009B52A1" w:rsidRPr="00A30FE3">
        <w:rPr>
          <w:rFonts w:asciiTheme="minorHAnsi" w:hAnsiTheme="minorHAnsi" w:cstheme="minorHAnsi"/>
        </w:rPr>
        <w:t>don’t</w:t>
      </w:r>
      <w:proofErr w:type="gramEnd"/>
      <w:r w:rsidR="009B52A1" w:rsidRPr="00A30FE3">
        <w:rPr>
          <w:rFonts w:asciiTheme="minorHAnsi" w:hAnsiTheme="minorHAnsi" w:cstheme="minorHAnsi"/>
        </w:rPr>
        <w:t xml:space="preserve"> hesitate to contact me.</w:t>
      </w:r>
    </w:p>
    <w:p w14:paraId="7520CE38" w14:textId="77777777" w:rsidR="001D7CA1" w:rsidRDefault="001D7CA1" w:rsidP="00E3666B">
      <w:pPr>
        <w:spacing w:line="240" w:lineRule="auto"/>
        <w:rPr>
          <w:rFonts w:asciiTheme="minorHAnsi" w:hAnsiTheme="minorHAnsi" w:cstheme="minorHAnsi"/>
        </w:rPr>
      </w:pPr>
    </w:p>
    <w:p w14:paraId="06191F7F" w14:textId="65FB4F5F" w:rsidR="00E3666B" w:rsidRPr="00A30FE3" w:rsidRDefault="00E3666B" w:rsidP="00E3666B">
      <w:pPr>
        <w:spacing w:line="240" w:lineRule="auto"/>
        <w:rPr>
          <w:rFonts w:asciiTheme="minorHAnsi" w:hAnsiTheme="minorHAnsi" w:cstheme="minorHAnsi"/>
        </w:rPr>
      </w:pPr>
      <w:r w:rsidRPr="00A30FE3">
        <w:rPr>
          <w:rFonts w:asciiTheme="minorHAnsi" w:hAnsiTheme="minorHAnsi" w:cstheme="minorHAnsi"/>
        </w:rPr>
        <w:t>Regards,</w:t>
      </w:r>
    </w:p>
    <w:p w14:paraId="7D40F981" w14:textId="77777777" w:rsidR="001D7CA1" w:rsidRDefault="001D7CA1" w:rsidP="00BF6F43">
      <w:pPr>
        <w:spacing w:line="240" w:lineRule="auto"/>
        <w:rPr>
          <w:rFonts w:ascii="Blackadder ITC" w:hAnsi="Blackadder ITC" w:cstheme="minorHAnsi"/>
          <w:b/>
          <w:i/>
          <w:color w:val="0070C0"/>
          <w:sz w:val="28"/>
          <w:szCs w:val="28"/>
        </w:rPr>
      </w:pPr>
    </w:p>
    <w:p w14:paraId="4AF9B9CB" w14:textId="40B0B769" w:rsidR="00BF6F43" w:rsidRDefault="00E3666B" w:rsidP="00BF6F43">
      <w:pPr>
        <w:spacing w:line="240" w:lineRule="auto"/>
        <w:rPr>
          <w:rFonts w:ascii="Blackadder ITC" w:hAnsi="Blackadder ITC" w:cstheme="minorHAnsi"/>
          <w:b/>
          <w:i/>
          <w:color w:val="0070C0"/>
          <w:sz w:val="28"/>
          <w:szCs w:val="28"/>
        </w:rPr>
      </w:pPr>
      <w:r w:rsidRPr="009B0FAB">
        <w:rPr>
          <w:rFonts w:ascii="Blackadder ITC" w:hAnsi="Blackadder ITC" w:cstheme="minorHAnsi"/>
          <w:b/>
          <w:i/>
          <w:color w:val="0070C0"/>
          <w:sz w:val="28"/>
          <w:szCs w:val="28"/>
        </w:rPr>
        <w:t>Nick Hunter </w:t>
      </w:r>
      <w:r w:rsidR="0024447F" w:rsidRPr="009B0FAB">
        <w:rPr>
          <w:rFonts w:ascii="Blackadder ITC" w:hAnsi="Blackadder ITC" w:cstheme="minorHAnsi"/>
          <w:b/>
          <w:i/>
          <w:color w:val="0070C0"/>
          <w:sz w:val="28"/>
          <w:szCs w:val="28"/>
        </w:rPr>
        <w:tab/>
      </w:r>
      <w:r w:rsidR="0024447F" w:rsidRPr="009B0FAB">
        <w:rPr>
          <w:rFonts w:ascii="Blackadder ITC" w:hAnsi="Blackadder ITC" w:cstheme="minorHAnsi"/>
          <w:b/>
          <w:i/>
          <w:color w:val="0070C0"/>
          <w:sz w:val="28"/>
          <w:szCs w:val="28"/>
        </w:rPr>
        <w:tab/>
      </w:r>
      <w:r w:rsidR="0024447F" w:rsidRPr="009B0FAB">
        <w:rPr>
          <w:rFonts w:ascii="Blackadder ITC" w:hAnsi="Blackadder ITC" w:cstheme="minorHAnsi"/>
          <w:b/>
          <w:i/>
          <w:color w:val="0070C0"/>
          <w:sz w:val="28"/>
          <w:szCs w:val="28"/>
        </w:rPr>
        <w:tab/>
      </w:r>
      <w:r w:rsidR="0024447F" w:rsidRPr="009B0FAB">
        <w:rPr>
          <w:rFonts w:ascii="Blackadder ITC" w:hAnsi="Blackadder ITC" w:cstheme="minorHAnsi"/>
          <w:b/>
          <w:i/>
          <w:color w:val="0070C0"/>
          <w:sz w:val="28"/>
          <w:szCs w:val="28"/>
        </w:rPr>
        <w:tab/>
      </w:r>
      <w:r w:rsidR="0024447F" w:rsidRPr="009B0FAB">
        <w:rPr>
          <w:rFonts w:ascii="Blackadder ITC" w:hAnsi="Blackadder ITC" w:cstheme="minorHAnsi"/>
          <w:b/>
          <w:i/>
          <w:color w:val="0070C0"/>
          <w:sz w:val="28"/>
          <w:szCs w:val="28"/>
        </w:rPr>
        <w:tab/>
      </w:r>
      <w:r w:rsidR="0024447F" w:rsidRPr="009B0FAB">
        <w:rPr>
          <w:rFonts w:ascii="Blackadder ITC" w:hAnsi="Blackadder ITC" w:cstheme="minorHAnsi"/>
          <w:b/>
          <w:i/>
          <w:color w:val="0070C0"/>
          <w:sz w:val="28"/>
          <w:szCs w:val="28"/>
        </w:rPr>
        <w:tab/>
      </w:r>
    </w:p>
    <w:p w14:paraId="56790033" w14:textId="7B09822F" w:rsidR="001D7CA1" w:rsidRDefault="001D7CA1" w:rsidP="00BF6F43">
      <w:pPr>
        <w:spacing w:line="240" w:lineRule="auto"/>
        <w:rPr>
          <w:rFonts w:ascii="Blackadder ITC" w:hAnsi="Blackadder ITC" w:cstheme="minorHAnsi"/>
          <w:b/>
          <w:i/>
          <w:color w:val="0070C0"/>
          <w:sz w:val="28"/>
          <w:szCs w:val="28"/>
        </w:rPr>
      </w:pPr>
    </w:p>
    <w:p w14:paraId="36D4473A" w14:textId="08BD432E" w:rsidR="001D7CA1" w:rsidRDefault="001D7CA1" w:rsidP="00BF6F43">
      <w:pPr>
        <w:spacing w:line="240" w:lineRule="auto"/>
        <w:rPr>
          <w:rFonts w:ascii="Blackadder ITC" w:hAnsi="Blackadder ITC" w:cstheme="minorHAnsi"/>
          <w:b/>
          <w:i/>
          <w:color w:val="0070C0"/>
          <w:sz w:val="28"/>
          <w:szCs w:val="28"/>
        </w:rPr>
      </w:pPr>
    </w:p>
    <w:p w14:paraId="5FC6FDA5" w14:textId="6FFD9D26" w:rsidR="001D7CA1" w:rsidRDefault="001D7CA1" w:rsidP="00BF6F43">
      <w:pPr>
        <w:spacing w:line="240" w:lineRule="auto"/>
        <w:rPr>
          <w:rFonts w:ascii="Blackadder ITC" w:hAnsi="Blackadder ITC" w:cstheme="minorHAnsi"/>
          <w:b/>
          <w:i/>
          <w:color w:val="0070C0"/>
          <w:sz w:val="28"/>
          <w:szCs w:val="28"/>
        </w:rPr>
      </w:pPr>
    </w:p>
    <w:p w14:paraId="6F829E75" w14:textId="0105DED3" w:rsidR="001D7CA1" w:rsidRDefault="001D7CA1" w:rsidP="00BF6F43">
      <w:pPr>
        <w:spacing w:line="240" w:lineRule="auto"/>
        <w:rPr>
          <w:rFonts w:ascii="Blackadder ITC" w:hAnsi="Blackadder ITC" w:cstheme="minorHAnsi"/>
          <w:b/>
          <w:i/>
          <w:color w:val="0070C0"/>
          <w:sz w:val="28"/>
          <w:szCs w:val="28"/>
        </w:rPr>
      </w:pPr>
    </w:p>
    <w:p w14:paraId="594202EB" w14:textId="5476C90A" w:rsidR="001D7CA1" w:rsidRDefault="001D7CA1" w:rsidP="00BF6F43">
      <w:pPr>
        <w:spacing w:line="240" w:lineRule="auto"/>
        <w:rPr>
          <w:rFonts w:ascii="Blackadder ITC" w:hAnsi="Blackadder ITC" w:cstheme="minorHAnsi"/>
          <w:b/>
          <w:i/>
          <w:color w:val="0070C0"/>
          <w:sz w:val="28"/>
          <w:szCs w:val="28"/>
        </w:rPr>
      </w:pPr>
    </w:p>
    <w:p w14:paraId="6C0B5780" w14:textId="0A28C5A9" w:rsidR="001D7CA1" w:rsidRDefault="001D7CA1" w:rsidP="00BF6F43">
      <w:pPr>
        <w:spacing w:line="240" w:lineRule="auto"/>
        <w:rPr>
          <w:rFonts w:ascii="Blackadder ITC" w:hAnsi="Blackadder ITC" w:cstheme="minorHAnsi"/>
          <w:b/>
          <w:i/>
          <w:color w:val="0070C0"/>
          <w:sz w:val="28"/>
          <w:szCs w:val="28"/>
        </w:rPr>
      </w:pPr>
    </w:p>
    <w:p w14:paraId="5933971F" w14:textId="2B3958FA" w:rsidR="001D7CA1" w:rsidRDefault="001D7CA1" w:rsidP="00BF6F43">
      <w:pPr>
        <w:spacing w:line="240" w:lineRule="auto"/>
        <w:rPr>
          <w:rFonts w:ascii="Blackadder ITC" w:hAnsi="Blackadder ITC" w:cstheme="minorHAnsi"/>
          <w:b/>
          <w:i/>
          <w:color w:val="0070C0"/>
          <w:sz w:val="28"/>
          <w:szCs w:val="28"/>
        </w:rPr>
      </w:pPr>
    </w:p>
    <w:p w14:paraId="52174B0E" w14:textId="62A748ED" w:rsidR="001D7CA1" w:rsidRDefault="001D7CA1" w:rsidP="00BF6F43">
      <w:pPr>
        <w:spacing w:line="240" w:lineRule="auto"/>
        <w:rPr>
          <w:rFonts w:ascii="Blackadder ITC" w:hAnsi="Blackadder ITC" w:cstheme="minorHAnsi"/>
          <w:b/>
          <w:i/>
          <w:color w:val="0070C0"/>
          <w:sz w:val="28"/>
          <w:szCs w:val="28"/>
        </w:rPr>
      </w:pPr>
    </w:p>
    <w:p w14:paraId="46A59B11" w14:textId="5A3AB563" w:rsidR="001D7CA1" w:rsidRDefault="001D7CA1" w:rsidP="00BF6F43">
      <w:pPr>
        <w:spacing w:line="240" w:lineRule="auto"/>
        <w:rPr>
          <w:rFonts w:ascii="Blackadder ITC" w:hAnsi="Blackadder ITC" w:cstheme="minorHAnsi"/>
          <w:b/>
          <w:i/>
          <w:color w:val="0070C0"/>
          <w:sz w:val="28"/>
          <w:szCs w:val="28"/>
        </w:rPr>
      </w:pPr>
    </w:p>
    <w:p w14:paraId="194D8B7B" w14:textId="4EECB278" w:rsidR="001D7CA1" w:rsidRDefault="001D7CA1" w:rsidP="00BF6F43">
      <w:pPr>
        <w:spacing w:line="240" w:lineRule="auto"/>
        <w:rPr>
          <w:rFonts w:ascii="Blackadder ITC" w:hAnsi="Blackadder ITC" w:cstheme="minorHAnsi"/>
          <w:b/>
          <w:i/>
          <w:color w:val="0070C0"/>
          <w:sz w:val="28"/>
          <w:szCs w:val="28"/>
        </w:rPr>
      </w:pPr>
    </w:p>
    <w:p w14:paraId="698775B1" w14:textId="0CBAE7D0" w:rsidR="001D7CA1" w:rsidRDefault="001D7CA1" w:rsidP="00BF6F43">
      <w:pPr>
        <w:spacing w:line="240" w:lineRule="auto"/>
        <w:rPr>
          <w:rFonts w:ascii="Blackadder ITC" w:hAnsi="Blackadder ITC" w:cstheme="minorHAnsi"/>
          <w:b/>
          <w:i/>
          <w:color w:val="0070C0"/>
          <w:sz w:val="28"/>
          <w:szCs w:val="28"/>
        </w:rPr>
      </w:pPr>
    </w:p>
    <w:p w14:paraId="795BC83D" w14:textId="511DB668" w:rsidR="001D7CA1" w:rsidRDefault="001D7CA1" w:rsidP="00BF6F43">
      <w:pPr>
        <w:spacing w:line="240" w:lineRule="auto"/>
        <w:rPr>
          <w:rFonts w:ascii="Blackadder ITC" w:hAnsi="Blackadder ITC" w:cstheme="minorHAnsi"/>
          <w:b/>
          <w:i/>
          <w:color w:val="0070C0"/>
          <w:sz w:val="28"/>
          <w:szCs w:val="28"/>
        </w:rPr>
      </w:pPr>
    </w:p>
    <w:p w14:paraId="7BEBA37F" w14:textId="19EC38AC" w:rsidR="001D7CA1" w:rsidRDefault="001D7CA1" w:rsidP="00BF6F43">
      <w:pPr>
        <w:spacing w:line="240" w:lineRule="auto"/>
        <w:rPr>
          <w:rFonts w:ascii="Blackadder ITC" w:hAnsi="Blackadder ITC" w:cstheme="minorHAnsi"/>
          <w:b/>
          <w:i/>
          <w:color w:val="0070C0"/>
          <w:sz w:val="28"/>
          <w:szCs w:val="28"/>
        </w:rPr>
      </w:pPr>
    </w:p>
    <w:p w14:paraId="69006208" w14:textId="77777777" w:rsidR="001D7CA1" w:rsidRPr="009B0FAB" w:rsidRDefault="001D7CA1" w:rsidP="00BF6F43">
      <w:pPr>
        <w:spacing w:line="240" w:lineRule="auto"/>
        <w:rPr>
          <w:rFonts w:ascii="Blackadder ITC" w:hAnsi="Blackadder ITC" w:cstheme="minorHAnsi"/>
          <w:b/>
          <w:i/>
          <w:color w:val="0070C0"/>
          <w:sz w:val="28"/>
          <w:szCs w:val="28"/>
        </w:rPr>
      </w:pPr>
    </w:p>
    <w:p w14:paraId="55726805" w14:textId="4357787A" w:rsidR="00626AB1" w:rsidRPr="00A30FE3" w:rsidRDefault="00BF6F43" w:rsidP="00BF6F43">
      <w:pPr>
        <w:spacing w:line="240" w:lineRule="auto"/>
        <w:rPr>
          <w:rFonts w:asciiTheme="minorHAnsi" w:hAnsiTheme="minorHAnsi" w:cstheme="minorHAnsi"/>
          <w:b/>
          <w:i/>
          <w:color w:val="0070C0"/>
        </w:rPr>
      </w:pP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Pr="00A30FE3">
        <w:rPr>
          <w:rFonts w:asciiTheme="minorHAnsi" w:hAnsiTheme="minorHAnsi" w:cstheme="minorHAnsi"/>
          <w:b/>
          <w:i/>
          <w:color w:val="0070C0"/>
        </w:rPr>
        <w:tab/>
      </w:r>
      <w:r w:rsidR="0024447F" w:rsidRPr="00A30FE3">
        <w:rPr>
          <w:rFonts w:asciiTheme="minorHAnsi" w:hAnsiTheme="minorHAnsi" w:cstheme="minorHAnsi"/>
          <w:b/>
          <w:i/>
          <w:color w:val="0070C0"/>
        </w:rPr>
        <w:tab/>
        <w:t xml:space="preserve">    </w:t>
      </w:r>
      <w:r w:rsidR="0024447F" w:rsidRPr="00A30FE3">
        <w:rPr>
          <w:rFonts w:asciiTheme="minorHAnsi" w:hAnsiTheme="minorHAnsi" w:cstheme="minorHAnsi"/>
          <w:noProof/>
        </w:rPr>
        <w:drawing>
          <wp:inline distT="0" distB="0" distL="0" distR="0" wp14:anchorId="6C053C4F" wp14:editId="4F4AA809">
            <wp:extent cx="830370" cy="535332"/>
            <wp:effectExtent l="0" t="0" r="8255" b="0"/>
            <wp:docPr id="1" name="Picture 2" descr="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jpg"/>
                    <pic:cNvPicPr>
                      <a:picLocks noChangeAspect="1" noChangeArrowheads="1"/>
                    </pic:cNvPicPr>
                  </pic:nvPicPr>
                  <pic:blipFill>
                    <a:blip r:embed="rId16" cstate="print"/>
                    <a:srcRect/>
                    <a:stretch>
                      <a:fillRect/>
                    </a:stretch>
                  </pic:blipFill>
                  <pic:spPr bwMode="auto">
                    <a:xfrm>
                      <a:off x="0" y="0"/>
                      <a:ext cx="830370" cy="535332"/>
                    </a:xfrm>
                    <a:prstGeom prst="rect">
                      <a:avLst/>
                    </a:prstGeom>
                    <a:noFill/>
                    <a:ln w="9525">
                      <a:noFill/>
                      <a:miter lim="800000"/>
                      <a:headEnd/>
                      <a:tailEnd/>
                    </a:ln>
                  </pic:spPr>
                </pic:pic>
              </a:graphicData>
            </a:graphic>
          </wp:inline>
        </w:drawing>
      </w:r>
    </w:p>
    <w:sectPr w:rsidR="00626AB1" w:rsidRPr="00A30FE3" w:rsidSect="00CD4691">
      <w:headerReference w:type="default" r:id="rId17"/>
      <w:foot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7D343" w14:textId="77777777" w:rsidR="0060322E" w:rsidRDefault="0060322E" w:rsidP="00494695">
      <w:pPr>
        <w:spacing w:after="0" w:line="240" w:lineRule="auto"/>
      </w:pPr>
      <w:r>
        <w:separator/>
      </w:r>
    </w:p>
  </w:endnote>
  <w:endnote w:type="continuationSeparator" w:id="0">
    <w:p w14:paraId="41F1ACA5" w14:textId="77777777" w:rsidR="0060322E" w:rsidRDefault="0060322E" w:rsidP="0049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61"/>
      <w:gridCol w:w="903"/>
      <w:gridCol w:w="4062"/>
    </w:tblGrid>
    <w:tr w:rsidR="00990745" w14:paraId="7505782A" w14:textId="77777777" w:rsidTr="00AE333E">
      <w:trPr>
        <w:trHeight w:val="151"/>
      </w:trPr>
      <w:tc>
        <w:tcPr>
          <w:tcW w:w="2250" w:type="pct"/>
          <w:tcBorders>
            <w:bottom w:val="single" w:sz="4" w:space="0" w:color="4F81BD"/>
          </w:tcBorders>
        </w:tcPr>
        <w:p w14:paraId="744DEBE8" w14:textId="77777777" w:rsidR="00990745" w:rsidRPr="00DC0177" w:rsidRDefault="00990745">
          <w:pPr>
            <w:pStyle w:val="Header"/>
            <w:rPr>
              <w:rFonts w:ascii="Cambria" w:eastAsia="Times New Roman" w:hAnsi="Cambria"/>
              <w:b/>
              <w:bCs/>
            </w:rPr>
          </w:pPr>
        </w:p>
      </w:tc>
      <w:tc>
        <w:tcPr>
          <w:tcW w:w="500" w:type="pct"/>
          <w:vMerge w:val="restart"/>
          <w:noWrap/>
          <w:vAlign w:val="center"/>
        </w:tcPr>
        <w:p w14:paraId="6C600B81" w14:textId="77777777" w:rsidR="00990745" w:rsidRPr="00AE333E" w:rsidRDefault="00990745">
          <w:pPr>
            <w:pStyle w:val="NoSpacing"/>
            <w:rPr>
              <w:rFonts w:ascii="Cambria" w:hAnsi="Cambria"/>
            </w:rPr>
          </w:pPr>
          <w:r w:rsidRPr="00AE333E">
            <w:rPr>
              <w:rFonts w:ascii="Cambria" w:hAnsi="Cambria"/>
              <w:b/>
            </w:rPr>
            <w:t xml:space="preserve">Page </w:t>
          </w:r>
          <w:r w:rsidRPr="00AE333E">
            <w:fldChar w:fldCharType="begin"/>
          </w:r>
          <w:r>
            <w:instrText xml:space="preserve"> PAGE  \* MERGEFORMAT </w:instrText>
          </w:r>
          <w:r w:rsidRPr="00AE333E">
            <w:fldChar w:fldCharType="separate"/>
          </w:r>
          <w:r w:rsidR="004D2F76" w:rsidRPr="004D2F76">
            <w:rPr>
              <w:rFonts w:ascii="Cambria" w:hAnsi="Cambria"/>
              <w:b/>
              <w:noProof/>
            </w:rPr>
            <w:t>2</w:t>
          </w:r>
          <w:r w:rsidRPr="00AE333E">
            <w:rPr>
              <w:rFonts w:ascii="Cambria" w:hAnsi="Cambria"/>
              <w:b/>
              <w:noProof/>
            </w:rPr>
            <w:fldChar w:fldCharType="end"/>
          </w:r>
        </w:p>
      </w:tc>
      <w:tc>
        <w:tcPr>
          <w:tcW w:w="2250" w:type="pct"/>
          <w:tcBorders>
            <w:bottom w:val="single" w:sz="4" w:space="0" w:color="4F81BD"/>
          </w:tcBorders>
        </w:tcPr>
        <w:p w14:paraId="3BA6472E" w14:textId="77777777" w:rsidR="00990745" w:rsidRPr="00DC0177" w:rsidRDefault="00990745">
          <w:pPr>
            <w:pStyle w:val="Header"/>
            <w:rPr>
              <w:rFonts w:ascii="Cambria" w:eastAsia="Times New Roman" w:hAnsi="Cambria"/>
              <w:b/>
              <w:bCs/>
            </w:rPr>
          </w:pPr>
        </w:p>
      </w:tc>
    </w:tr>
    <w:tr w:rsidR="00990745" w14:paraId="6F1DDBDB" w14:textId="77777777" w:rsidTr="00AE333E">
      <w:trPr>
        <w:trHeight w:val="150"/>
      </w:trPr>
      <w:tc>
        <w:tcPr>
          <w:tcW w:w="2250" w:type="pct"/>
          <w:tcBorders>
            <w:top w:val="single" w:sz="4" w:space="0" w:color="4F81BD"/>
          </w:tcBorders>
        </w:tcPr>
        <w:p w14:paraId="6DDFD5E5" w14:textId="77777777" w:rsidR="00990745" w:rsidRPr="00DC0177" w:rsidRDefault="00990745">
          <w:pPr>
            <w:pStyle w:val="Header"/>
            <w:rPr>
              <w:rFonts w:ascii="Cambria" w:eastAsia="Times New Roman" w:hAnsi="Cambria"/>
              <w:b/>
              <w:bCs/>
            </w:rPr>
          </w:pPr>
        </w:p>
      </w:tc>
      <w:tc>
        <w:tcPr>
          <w:tcW w:w="500" w:type="pct"/>
          <w:vMerge/>
        </w:tcPr>
        <w:p w14:paraId="3F1DAF19" w14:textId="77777777" w:rsidR="00990745" w:rsidRPr="00DC0177" w:rsidRDefault="00990745">
          <w:pPr>
            <w:pStyle w:val="Header"/>
            <w:jc w:val="center"/>
            <w:rPr>
              <w:rFonts w:ascii="Cambria" w:eastAsia="Times New Roman" w:hAnsi="Cambria"/>
              <w:b/>
              <w:bCs/>
            </w:rPr>
          </w:pPr>
        </w:p>
      </w:tc>
      <w:tc>
        <w:tcPr>
          <w:tcW w:w="2250" w:type="pct"/>
          <w:tcBorders>
            <w:top w:val="single" w:sz="4" w:space="0" w:color="4F81BD"/>
          </w:tcBorders>
        </w:tcPr>
        <w:p w14:paraId="70D32420" w14:textId="77777777" w:rsidR="00990745" w:rsidRPr="00DC0177" w:rsidRDefault="00990745">
          <w:pPr>
            <w:pStyle w:val="Header"/>
            <w:rPr>
              <w:rFonts w:ascii="Cambria" w:eastAsia="Times New Roman" w:hAnsi="Cambria"/>
              <w:b/>
              <w:bCs/>
            </w:rPr>
          </w:pPr>
        </w:p>
      </w:tc>
    </w:tr>
  </w:tbl>
  <w:p w14:paraId="678840B1" w14:textId="77777777" w:rsidR="00990745" w:rsidRDefault="0099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B2CDA" w14:textId="77777777" w:rsidR="0060322E" w:rsidRDefault="0060322E" w:rsidP="00494695">
      <w:pPr>
        <w:spacing w:after="0" w:line="240" w:lineRule="auto"/>
      </w:pPr>
      <w:r>
        <w:separator/>
      </w:r>
    </w:p>
  </w:footnote>
  <w:footnote w:type="continuationSeparator" w:id="0">
    <w:p w14:paraId="51333FDE" w14:textId="77777777" w:rsidR="0060322E" w:rsidRDefault="0060322E" w:rsidP="0049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21CE" w14:textId="05E477B1" w:rsidR="00990745" w:rsidRPr="00816E40" w:rsidRDefault="00990745">
    <w:pPr>
      <w:pStyle w:val="Header"/>
      <w:rPr>
        <w:sz w:val="20"/>
        <w:szCs w:val="20"/>
      </w:rPr>
    </w:pPr>
    <w:r>
      <w:rPr>
        <w:sz w:val="20"/>
        <w:szCs w:val="20"/>
      </w:rPr>
      <w:t>Nottinghamshire</w:t>
    </w:r>
    <w:r w:rsidRPr="00816E40">
      <w:rPr>
        <w:sz w:val="20"/>
        <w:szCs w:val="20"/>
      </w:rPr>
      <w:t xml:space="preserve"> LPC AGM</w:t>
    </w:r>
    <w:r w:rsidRPr="00816E40">
      <w:rPr>
        <w:sz w:val="20"/>
        <w:szCs w:val="20"/>
      </w:rPr>
      <w:tab/>
    </w:r>
    <w:r w:rsidRPr="00816E40">
      <w:rPr>
        <w:sz w:val="20"/>
        <w:szCs w:val="20"/>
      </w:rPr>
      <w:tab/>
      <w:t xml:space="preserve"> </w:t>
    </w:r>
    <w:r w:rsidR="00B03795">
      <w:rPr>
        <w:sz w:val="20"/>
        <w:szCs w:val="20"/>
      </w:rPr>
      <w:t>July</w:t>
    </w:r>
    <w:r w:rsidR="006A2D7E">
      <w:rPr>
        <w:sz w:val="20"/>
        <w:szCs w:val="20"/>
      </w:rPr>
      <w:t xml:space="preserve"> 20</w:t>
    </w:r>
    <w:r w:rsidR="00B03795">
      <w:rPr>
        <w:sz w:val="20"/>
        <w:szCs w:val="20"/>
      </w:rPr>
      <w:t>20</w:t>
    </w:r>
  </w:p>
  <w:p w14:paraId="6362CD6D" w14:textId="71CF63C9" w:rsidR="00990745" w:rsidRPr="00AE333E" w:rsidRDefault="00990745" w:rsidP="00816E40">
    <w:pPr>
      <w:rPr>
        <w:b/>
        <w:sz w:val="20"/>
        <w:szCs w:val="20"/>
      </w:rPr>
    </w:pPr>
    <w:r w:rsidRPr="00AE333E">
      <w:rPr>
        <w:b/>
        <w:sz w:val="20"/>
        <w:szCs w:val="20"/>
      </w:rPr>
      <w:t xml:space="preserve">Chief Officer Report to </w:t>
    </w:r>
    <w:r>
      <w:rPr>
        <w:b/>
        <w:sz w:val="20"/>
        <w:szCs w:val="20"/>
      </w:rPr>
      <w:t xml:space="preserve">contractors for year </w:t>
    </w:r>
    <w:r w:rsidR="006A2D7E">
      <w:rPr>
        <w:b/>
        <w:sz w:val="20"/>
        <w:szCs w:val="20"/>
      </w:rPr>
      <w:t>201</w:t>
    </w:r>
    <w:r w:rsidR="00B03795">
      <w:rPr>
        <w:b/>
        <w:sz w:val="20"/>
        <w:szCs w:val="20"/>
      </w:rPr>
      <w:t>9</w:t>
    </w:r>
    <w:r w:rsidR="006A2D7E">
      <w:rPr>
        <w:b/>
        <w:sz w:val="20"/>
        <w:szCs w:val="20"/>
      </w:rPr>
      <w:t xml:space="preserve"> / </w:t>
    </w:r>
    <w:r w:rsidR="00B03795">
      <w:rPr>
        <w:b/>
        <w:sz w:val="20"/>
        <w:szCs w:val="20"/>
      </w:rPr>
      <w:t>2020</w:t>
    </w:r>
    <w:r w:rsidRPr="00AE333E">
      <w:rPr>
        <w:b/>
        <w:sz w:val="20"/>
        <w:szCs w:val="20"/>
      </w:rPr>
      <w:br/>
      <w:t xml:space="preserve">Nick Hunter, </w:t>
    </w:r>
    <w:proofErr w:type="spellStart"/>
    <w:r w:rsidRPr="00AE333E">
      <w:rPr>
        <w:b/>
        <w:sz w:val="20"/>
        <w:szCs w:val="20"/>
      </w:rPr>
      <w:t>MRPharmS</w:t>
    </w:r>
    <w:proofErr w:type="spellEnd"/>
  </w:p>
  <w:p w14:paraId="38BA0A0C" w14:textId="77777777" w:rsidR="00990745" w:rsidRDefault="0099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F"/>
    <w:multiLevelType w:val="hybridMultilevel"/>
    <w:tmpl w:val="4078C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80EC8"/>
    <w:multiLevelType w:val="hybridMultilevel"/>
    <w:tmpl w:val="714A92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782356"/>
    <w:multiLevelType w:val="hybridMultilevel"/>
    <w:tmpl w:val="AEEA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136DC"/>
    <w:multiLevelType w:val="hybridMultilevel"/>
    <w:tmpl w:val="8480A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66C25"/>
    <w:multiLevelType w:val="hybridMultilevel"/>
    <w:tmpl w:val="3A86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2F0426"/>
    <w:multiLevelType w:val="hybridMultilevel"/>
    <w:tmpl w:val="B4CA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3177BC"/>
    <w:multiLevelType w:val="hybridMultilevel"/>
    <w:tmpl w:val="F01E5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11372"/>
    <w:multiLevelType w:val="hybridMultilevel"/>
    <w:tmpl w:val="4078C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0537"/>
    <w:multiLevelType w:val="hybridMultilevel"/>
    <w:tmpl w:val="64904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D1C5F"/>
    <w:multiLevelType w:val="hybridMultilevel"/>
    <w:tmpl w:val="48AC42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D761D"/>
    <w:multiLevelType w:val="hybridMultilevel"/>
    <w:tmpl w:val="3312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EF4224"/>
    <w:multiLevelType w:val="hybridMultilevel"/>
    <w:tmpl w:val="EEB8AC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8C569F"/>
    <w:multiLevelType w:val="hybridMultilevel"/>
    <w:tmpl w:val="AA2C0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F56A3D"/>
    <w:multiLevelType w:val="hybridMultilevel"/>
    <w:tmpl w:val="E256B6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2"/>
  </w:num>
  <w:num w:numId="4">
    <w:abstractNumId w:val="13"/>
  </w:num>
  <w:num w:numId="5">
    <w:abstractNumId w:val="3"/>
  </w:num>
  <w:num w:numId="6">
    <w:abstractNumId w:val="5"/>
  </w:num>
  <w:num w:numId="7">
    <w:abstractNumId w:val="8"/>
  </w:num>
  <w:num w:numId="8">
    <w:abstractNumId w:val="9"/>
  </w:num>
  <w:num w:numId="9">
    <w:abstractNumId w:val="4"/>
  </w:num>
  <w:num w:numId="10">
    <w:abstractNumId w:val="10"/>
  </w:num>
  <w:num w:numId="11">
    <w:abstractNumId w:val="12"/>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7"/>
    <w:rsid w:val="0001346E"/>
    <w:rsid w:val="00014D06"/>
    <w:rsid w:val="0001773D"/>
    <w:rsid w:val="00023B5B"/>
    <w:rsid w:val="00027CD0"/>
    <w:rsid w:val="00034EE5"/>
    <w:rsid w:val="000515B9"/>
    <w:rsid w:val="00096D11"/>
    <w:rsid w:val="000A3357"/>
    <w:rsid w:val="0010138E"/>
    <w:rsid w:val="00101437"/>
    <w:rsid w:val="00104F13"/>
    <w:rsid w:val="001067F9"/>
    <w:rsid w:val="00111CED"/>
    <w:rsid w:val="00114A30"/>
    <w:rsid w:val="00122612"/>
    <w:rsid w:val="00133EDF"/>
    <w:rsid w:val="0015099E"/>
    <w:rsid w:val="0015174F"/>
    <w:rsid w:val="00156BA3"/>
    <w:rsid w:val="00162167"/>
    <w:rsid w:val="0017102D"/>
    <w:rsid w:val="001712FF"/>
    <w:rsid w:val="00171434"/>
    <w:rsid w:val="00184731"/>
    <w:rsid w:val="001A6E1E"/>
    <w:rsid w:val="001C3443"/>
    <w:rsid w:val="001D5847"/>
    <w:rsid w:val="001D7CA1"/>
    <w:rsid w:val="001E7356"/>
    <w:rsid w:val="001F0C5C"/>
    <w:rsid w:val="001F7E0A"/>
    <w:rsid w:val="0020567B"/>
    <w:rsid w:val="00205E11"/>
    <w:rsid w:val="00222800"/>
    <w:rsid w:val="0024447F"/>
    <w:rsid w:val="002514AD"/>
    <w:rsid w:val="00254133"/>
    <w:rsid w:val="0025443E"/>
    <w:rsid w:val="00256517"/>
    <w:rsid w:val="0026616D"/>
    <w:rsid w:val="002867F4"/>
    <w:rsid w:val="00287E24"/>
    <w:rsid w:val="00293EE6"/>
    <w:rsid w:val="002C0F39"/>
    <w:rsid w:val="002C7573"/>
    <w:rsid w:val="002D1154"/>
    <w:rsid w:val="002D320E"/>
    <w:rsid w:val="002D3999"/>
    <w:rsid w:val="002E2B04"/>
    <w:rsid w:val="00303650"/>
    <w:rsid w:val="00317DFD"/>
    <w:rsid w:val="00320918"/>
    <w:rsid w:val="0032712D"/>
    <w:rsid w:val="00334ED3"/>
    <w:rsid w:val="00346B47"/>
    <w:rsid w:val="00363EE7"/>
    <w:rsid w:val="00381B72"/>
    <w:rsid w:val="003968B0"/>
    <w:rsid w:val="003A533F"/>
    <w:rsid w:val="003B0182"/>
    <w:rsid w:val="003B0AA6"/>
    <w:rsid w:val="003B7118"/>
    <w:rsid w:val="003C3284"/>
    <w:rsid w:val="003C4FB9"/>
    <w:rsid w:val="003D34E1"/>
    <w:rsid w:val="0041007E"/>
    <w:rsid w:val="004134C5"/>
    <w:rsid w:val="00437512"/>
    <w:rsid w:val="004375AA"/>
    <w:rsid w:val="00445D6E"/>
    <w:rsid w:val="00494695"/>
    <w:rsid w:val="004A02AB"/>
    <w:rsid w:val="004B2AA1"/>
    <w:rsid w:val="004D2F76"/>
    <w:rsid w:val="004D54DA"/>
    <w:rsid w:val="005068A6"/>
    <w:rsid w:val="00516DEB"/>
    <w:rsid w:val="00517618"/>
    <w:rsid w:val="0054283F"/>
    <w:rsid w:val="00547DD3"/>
    <w:rsid w:val="005520DE"/>
    <w:rsid w:val="0056538E"/>
    <w:rsid w:val="00570400"/>
    <w:rsid w:val="00570698"/>
    <w:rsid w:val="00573EE5"/>
    <w:rsid w:val="00593031"/>
    <w:rsid w:val="0059632B"/>
    <w:rsid w:val="00597F96"/>
    <w:rsid w:val="005B1BCF"/>
    <w:rsid w:val="005E07A6"/>
    <w:rsid w:val="005E1212"/>
    <w:rsid w:val="0060322E"/>
    <w:rsid w:val="00620D2F"/>
    <w:rsid w:val="00626AB1"/>
    <w:rsid w:val="00633625"/>
    <w:rsid w:val="00636A9A"/>
    <w:rsid w:val="0063722B"/>
    <w:rsid w:val="0064006E"/>
    <w:rsid w:val="00664A7E"/>
    <w:rsid w:val="006666DD"/>
    <w:rsid w:val="00676A24"/>
    <w:rsid w:val="00692433"/>
    <w:rsid w:val="00693E4D"/>
    <w:rsid w:val="00694CE4"/>
    <w:rsid w:val="006A2D7E"/>
    <w:rsid w:val="006A73B8"/>
    <w:rsid w:val="006B31BD"/>
    <w:rsid w:val="006D19A6"/>
    <w:rsid w:val="006E16BF"/>
    <w:rsid w:val="006F3449"/>
    <w:rsid w:val="006F48C0"/>
    <w:rsid w:val="00710E10"/>
    <w:rsid w:val="00723A69"/>
    <w:rsid w:val="007357DF"/>
    <w:rsid w:val="00742237"/>
    <w:rsid w:val="00766E1A"/>
    <w:rsid w:val="007707D6"/>
    <w:rsid w:val="00793F1C"/>
    <w:rsid w:val="007B7349"/>
    <w:rsid w:val="007C4C26"/>
    <w:rsid w:val="007D6238"/>
    <w:rsid w:val="007E509A"/>
    <w:rsid w:val="007E5A78"/>
    <w:rsid w:val="007E6B9C"/>
    <w:rsid w:val="007F7359"/>
    <w:rsid w:val="00812DBA"/>
    <w:rsid w:val="008132B9"/>
    <w:rsid w:val="00816E40"/>
    <w:rsid w:val="00836F2B"/>
    <w:rsid w:val="00852CF7"/>
    <w:rsid w:val="00862D8F"/>
    <w:rsid w:val="00864EF5"/>
    <w:rsid w:val="00867CA9"/>
    <w:rsid w:val="008737DF"/>
    <w:rsid w:val="00876906"/>
    <w:rsid w:val="008839D2"/>
    <w:rsid w:val="0088623B"/>
    <w:rsid w:val="008919CB"/>
    <w:rsid w:val="008925BF"/>
    <w:rsid w:val="00895CCE"/>
    <w:rsid w:val="00895DBE"/>
    <w:rsid w:val="008A4F2F"/>
    <w:rsid w:val="008B0F9C"/>
    <w:rsid w:val="008C6598"/>
    <w:rsid w:val="008D0655"/>
    <w:rsid w:val="008D708D"/>
    <w:rsid w:val="00901A39"/>
    <w:rsid w:val="009079BF"/>
    <w:rsid w:val="00921029"/>
    <w:rsid w:val="009253D3"/>
    <w:rsid w:val="00947364"/>
    <w:rsid w:val="009651F8"/>
    <w:rsid w:val="00984FC7"/>
    <w:rsid w:val="00990745"/>
    <w:rsid w:val="00995B20"/>
    <w:rsid w:val="009A7FD5"/>
    <w:rsid w:val="009B0FAB"/>
    <w:rsid w:val="009B52A1"/>
    <w:rsid w:val="009B6B0B"/>
    <w:rsid w:val="009F090C"/>
    <w:rsid w:val="009F3322"/>
    <w:rsid w:val="009F5954"/>
    <w:rsid w:val="00A0244D"/>
    <w:rsid w:val="00A21A82"/>
    <w:rsid w:val="00A30FE3"/>
    <w:rsid w:val="00A32875"/>
    <w:rsid w:val="00A33E70"/>
    <w:rsid w:val="00A36403"/>
    <w:rsid w:val="00A45C34"/>
    <w:rsid w:val="00A60BF6"/>
    <w:rsid w:val="00A7155E"/>
    <w:rsid w:val="00AA165E"/>
    <w:rsid w:val="00AA20BE"/>
    <w:rsid w:val="00AC3F39"/>
    <w:rsid w:val="00AE333E"/>
    <w:rsid w:val="00AE42E6"/>
    <w:rsid w:val="00AE44CE"/>
    <w:rsid w:val="00B03795"/>
    <w:rsid w:val="00B0556B"/>
    <w:rsid w:val="00B060AF"/>
    <w:rsid w:val="00B1461B"/>
    <w:rsid w:val="00B279FE"/>
    <w:rsid w:val="00B37569"/>
    <w:rsid w:val="00B441E8"/>
    <w:rsid w:val="00B535FA"/>
    <w:rsid w:val="00B56521"/>
    <w:rsid w:val="00B6341E"/>
    <w:rsid w:val="00B7314E"/>
    <w:rsid w:val="00B755CC"/>
    <w:rsid w:val="00B80E46"/>
    <w:rsid w:val="00B849E3"/>
    <w:rsid w:val="00B900F8"/>
    <w:rsid w:val="00B909BE"/>
    <w:rsid w:val="00B95489"/>
    <w:rsid w:val="00BB241D"/>
    <w:rsid w:val="00BC157A"/>
    <w:rsid w:val="00BC1F39"/>
    <w:rsid w:val="00BD6F2F"/>
    <w:rsid w:val="00BF6F43"/>
    <w:rsid w:val="00C015D7"/>
    <w:rsid w:val="00C207AD"/>
    <w:rsid w:val="00C32417"/>
    <w:rsid w:val="00C3661A"/>
    <w:rsid w:val="00C410B4"/>
    <w:rsid w:val="00C411BE"/>
    <w:rsid w:val="00C456CD"/>
    <w:rsid w:val="00C64D07"/>
    <w:rsid w:val="00C775E9"/>
    <w:rsid w:val="00C77EA4"/>
    <w:rsid w:val="00C808E6"/>
    <w:rsid w:val="00C84F82"/>
    <w:rsid w:val="00C86414"/>
    <w:rsid w:val="00CA2608"/>
    <w:rsid w:val="00CB5D0A"/>
    <w:rsid w:val="00CC1844"/>
    <w:rsid w:val="00CC4BE6"/>
    <w:rsid w:val="00CC55F6"/>
    <w:rsid w:val="00CD0A27"/>
    <w:rsid w:val="00CD415E"/>
    <w:rsid w:val="00CD4691"/>
    <w:rsid w:val="00CF082D"/>
    <w:rsid w:val="00D10731"/>
    <w:rsid w:val="00D45773"/>
    <w:rsid w:val="00D5036E"/>
    <w:rsid w:val="00D54380"/>
    <w:rsid w:val="00D56DBD"/>
    <w:rsid w:val="00D729D6"/>
    <w:rsid w:val="00D87872"/>
    <w:rsid w:val="00DB7C8F"/>
    <w:rsid w:val="00DC0177"/>
    <w:rsid w:val="00DC25FC"/>
    <w:rsid w:val="00DD3455"/>
    <w:rsid w:val="00DE7C6B"/>
    <w:rsid w:val="00DF7230"/>
    <w:rsid w:val="00E257F2"/>
    <w:rsid w:val="00E26CA0"/>
    <w:rsid w:val="00E30A51"/>
    <w:rsid w:val="00E3666B"/>
    <w:rsid w:val="00E705BC"/>
    <w:rsid w:val="00E927F6"/>
    <w:rsid w:val="00E93E66"/>
    <w:rsid w:val="00EA18C7"/>
    <w:rsid w:val="00EA511D"/>
    <w:rsid w:val="00EA5725"/>
    <w:rsid w:val="00EB4879"/>
    <w:rsid w:val="00EB7460"/>
    <w:rsid w:val="00EC710C"/>
    <w:rsid w:val="00ED08EE"/>
    <w:rsid w:val="00ED755D"/>
    <w:rsid w:val="00EE54D1"/>
    <w:rsid w:val="00EE66A8"/>
    <w:rsid w:val="00F01DAD"/>
    <w:rsid w:val="00F01EBD"/>
    <w:rsid w:val="00F25E2C"/>
    <w:rsid w:val="00F329F9"/>
    <w:rsid w:val="00F3307F"/>
    <w:rsid w:val="00F467F7"/>
    <w:rsid w:val="00F64E03"/>
    <w:rsid w:val="00F703FD"/>
    <w:rsid w:val="00F73AC4"/>
    <w:rsid w:val="00F75CF1"/>
    <w:rsid w:val="00FC7D12"/>
    <w:rsid w:val="00FE5E2B"/>
    <w:rsid w:val="00FF127C"/>
    <w:rsid w:val="00FF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7CDA2"/>
  <w15:docId w15:val="{D5E5B65F-1098-4338-B231-824732A7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32B"/>
    <w:pPr>
      <w:spacing w:after="200" w:line="276" w:lineRule="auto"/>
    </w:pPr>
    <w:rPr>
      <w:sz w:val="22"/>
      <w:szCs w:val="22"/>
      <w:lang w:eastAsia="en-US"/>
    </w:rPr>
  </w:style>
  <w:style w:type="paragraph" w:styleId="Heading1">
    <w:name w:val="heading 1"/>
    <w:basedOn w:val="Normal"/>
    <w:next w:val="Normal"/>
    <w:link w:val="Heading1Char"/>
    <w:qFormat/>
    <w:rsid w:val="0049469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94695"/>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94695"/>
    <w:rPr>
      <w:rFonts w:ascii="Cambria" w:eastAsia="Times New Roman" w:hAnsi="Cambria"/>
      <w:b/>
      <w:bCs/>
      <w:color w:val="365F91"/>
      <w:sz w:val="28"/>
      <w:szCs w:val="28"/>
      <w:lang w:eastAsia="en-US"/>
    </w:rPr>
  </w:style>
  <w:style w:type="paragraph" w:styleId="NoSpacing">
    <w:name w:val="No Spacing"/>
    <w:link w:val="NoSpacingChar"/>
    <w:uiPriority w:val="1"/>
    <w:qFormat/>
    <w:rsid w:val="00494695"/>
    <w:rPr>
      <w:sz w:val="22"/>
      <w:szCs w:val="22"/>
      <w:lang w:eastAsia="en-US"/>
    </w:rPr>
  </w:style>
  <w:style w:type="paragraph" w:styleId="FootnoteText">
    <w:name w:val="footnote text"/>
    <w:basedOn w:val="Normal"/>
    <w:link w:val="FootnoteTextChar"/>
    <w:semiHidden/>
    <w:unhideWhenUsed/>
    <w:rsid w:val="00494695"/>
    <w:rPr>
      <w:sz w:val="20"/>
      <w:szCs w:val="20"/>
    </w:rPr>
  </w:style>
  <w:style w:type="character" w:customStyle="1" w:styleId="FootnoteTextChar">
    <w:name w:val="Footnote Text Char"/>
    <w:link w:val="FootnoteText"/>
    <w:semiHidden/>
    <w:rsid w:val="00494695"/>
    <w:rPr>
      <w:lang w:eastAsia="en-US"/>
    </w:rPr>
  </w:style>
  <w:style w:type="character" w:styleId="FootnoteReference">
    <w:name w:val="footnote reference"/>
    <w:semiHidden/>
    <w:unhideWhenUsed/>
    <w:rsid w:val="00494695"/>
    <w:rPr>
      <w:vertAlign w:val="superscript"/>
    </w:rPr>
  </w:style>
  <w:style w:type="character" w:customStyle="1" w:styleId="Heading2Char">
    <w:name w:val="Heading 2 Char"/>
    <w:link w:val="Heading2"/>
    <w:rsid w:val="00494695"/>
    <w:rPr>
      <w:rFonts w:ascii="Cambria" w:eastAsia="Times New Roman" w:hAnsi="Cambria"/>
      <w:b/>
      <w:bCs/>
      <w:i/>
      <w:iCs/>
      <w:sz w:val="28"/>
      <w:szCs w:val="28"/>
      <w:lang w:eastAsia="en-US"/>
    </w:rPr>
  </w:style>
  <w:style w:type="paragraph" w:styleId="Header">
    <w:name w:val="header"/>
    <w:basedOn w:val="Normal"/>
    <w:link w:val="HeaderChar"/>
    <w:uiPriority w:val="99"/>
    <w:unhideWhenUsed/>
    <w:rsid w:val="00DE7C6B"/>
    <w:pPr>
      <w:tabs>
        <w:tab w:val="center" w:pos="4513"/>
        <w:tab w:val="right" w:pos="9026"/>
      </w:tabs>
    </w:pPr>
  </w:style>
  <w:style w:type="character" w:customStyle="1" w:styleId="HeaderChar">
    <w:name w:val="Header Char"/>
    <w:link w:val="Header"/>
    <w:uiPriority w:val="99"/>
    <w:rsid w:val="00DE7C6B"/>
    <w:rPr>
      <w:sz w:val="22"/>
      <w:szCs w:val="22"/>
      <w:lang w:eastAsia="en-US"/>
    </w:rPr>
  </w:style>
  <w:style w:type="paragraph" w:styleId="Footer">
    <w:name w:val="footer"/>
    <w:basedOn w:val="Normal"/>
    <w:link w:val="FooterChar"/>
    <w:uiPriority w:val="99"/>
    <w:unhideWhenUsed/>
    <w:rsid w:val="00DE7C6B"/>
    <w:pPr>
      <w:tabs>
        <w:tab w:val="center" w:pos="4513"/>
        <w:tab w:val="right" w:pos="9026"/>
      </w:tabs>
    </w:pPr>
  </w:style>
  <w:style w:type="character" w:customStyle="1" w:styleId="FooterChar">
    <w:name w:val="Footer Char"/>
    <w:link w:val="Footer"/>
    <w:uiPriority w:val="99"/>
    <w:rsid w:val="00DE7C6B"/>
    <w:rPr>
      <w:sz w:val="22"/>
      <w:szCs w:val="22"/>
      <w:lang w:eastAsia="en-US"/>
    </w:rPr>
  </w:style>
  <w:style w:type="paragraph" w:styleId="BalloonText">
    <w:name w:val="Balloon Text"/>
    <w:basedOn w:val="Normal"/>
    <w:link w:val="BalloonTextChar"/>
    <w:uiPriority w:val="99"/>
    <w:semiHidden/>
    <w:unhideWhenUsed/>
    <w:rsid w:val="00DE7C6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7C6B"/>
    <w:rPr>
      <w:rFonts w:ascii="Tahoma" w:hAnsi="Tahoma" w:cs="Tahoma"/>
      <w:sz w:val="16"/>
      <w:szCs w:val="16"/>
      <w:lang w:eastAsia="en-US"/>
    </w:rPr>
  </w:style>
  <w:style w:type="character" w:styleId="Hyperlink">
    <w:name w:val="Hyperlink"/>
    <w:uiPriority w:val="99"/>
    <w:unhideWhenUsed/>
    <w:rsid w:val="006B31BD"/>
    <w:rPr>
      <w:color w:val="0000FF"/>
      <w:u w:val="single"/>
    </w:rPr>
  </w:style>
  <w:style w:type="paragraph" w:customStyle="1" w:styleId="ReturnAddress">
    <w:name w:val="Return Address"/>
    <w:rsid w:val="00626AB1"/>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val="en-US"/>
    </w:rPr>
  </w:style>
  <w:style w:type="character" w:styleId="FollowedHyperlink">
    <w:name w:val="FollowedHyperlink"/>
    <w:uiPriority w:val="99"/>
    <w:semiHidden/>
    <w:unhideWhenUsed/>
    <w:rsid w:val="004D54DA"/>
    <w:rPr>
      <w:color w:val="800080"/>
      <w:u w:val="single"/>
    </w:rPr>
  </w:style>
  <w:style w:type="paragraph" w:styleId="NormalWeb">
    <w:name w:val="Normal (Web)"/>
    <w:basedOn w:val="Normal"/>
    <w:uiPriority w:val="99"/>
    <w:semiHidden/>
    <w:unhideWhenUsed/>
    <w:rsid w:val="00867C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link w:val="NoSpacing"/>
    <w:uiPriority w:val="1"/>
    <w:rsid w:val="00816E40"/>
    <w:rPr>
      <w:sz w:val="22"/>
      <w:szCs w:val="22"/>
      <w:lang w:val="en-GB" w:eastAsia="en-US" w:bidi="ar-SA"/>
    </w:rPr>
  </w:style>
  <w:style w:type="paragraph" w:styleId="BodyText">
    <w:name w:val="Body Text"/>
    <w:basedOn w:val="Normal"/>
    <w:link w:val="BodyTextChar"/>
    <w:rsid w:val="00E3666B"/>
    <w:pPr>
      <w:spacing w:after="0" w:line="240" w:lineRule="auto"/>
      <w:jc w:val="both"/>
    </w:pPr>
    <w:rPr>
      <w:rFonts w:ascii="Arial" w:eastAsia="Times New Roman" w:hAnsi="Arial"/>
      <w:sz w:val="20"/>
      <w:szCs w:val="20"/>
    </w:rPr>
  </w:style>
  <w:style w:type="character" w:customStyle="1" w:styleId="BodyTextChar">
    <w:name w:val="Body Text Char"/>
    <w:link w:val="BodyText"/>
    <w:rsid w:val="00E3666B"/>
    <w:rPr>
      <w:rFonts w:ascii="Arial" w:eastAsia="Times New Roman" w:hAnsi="Arial"/>
      <w:lang w:eastAsia="en-US"/>
    </w:rPr>
  </w:style>
  <w:style w:type="character" w:customStyle="1" w:styleId="u-linkcomplex-target">
    <w:name w:val="u-linkcomplex-target"/>
    <w:rsid w:val="00B535FA"/>
  </w:style>
  <w:style w:type="character" w:styleId="UnresolvedMention">
    <w:name w:val="Unresolved Mention"/>
    <w:basedOn w:val="DefaultParagraphFont"/>
    <w:uiPriority w:val="99"/>
    <w:semiHidden/>
    <w:unhideWhenUsed/>
    <w:rsid w:val="00A71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3088">
      <w:bodyDiv w:val="1"/>
      <w:marLeft w:val="0"/>
      <w:marRight w:val="0"/>
      <w:marTop w:val="0"/>
      <w:marBottom w:val="0"/>
      <w:divBdr>
        <w:top w:val="none" w:sz="0" w:space="0" w:color="auto"/>
        <w:left w:val="none" w:sz="0" w:space="0" w:color="auto"/>
        <w:bottom w:val="none" w:sz="0" w:space="0" w:color="auto"/>
        <w:right w:val="none" w:sz="0" w:space="0" w:color="auto"/>
      </w:divBdr>
    </w:div>
    <w:div w:id="855079109">
      <w:bodyDiv w:val="1"/>
      <w:marLeft w:val="0"/>
      <w:marRight w:val="0"/>
      <w:marTop w:val="0"/>
      <w:marBottom w:val="0"/>
      <w:divBdr>
        <w:top w:val="none" w:sz="0" w:space="0" w:color="auto"/>
        <w:left w:val="none" w:sz="0" w:space="0" w:color="auto"/>
        <w:bottom w:val="none" w:sz="0" w:space="0" w:color="auto"/>
        <w:right w:val="none" w:sz="0" w:space="0" w:color="auto"/>
      </w:divBdr>
    </w:div>
    <w:div w:id="1939672422">
      <w:bodyDiv w:val="1"/>
      <w:marLeft w:val="0"/>
      <w:marRight w:val="0"/>
      <w:marTop w:val="0"/>
      <w:marBottom w:val="0"/>
      <w:divBdr>
        <w:top w:val="none" w:sz="0" w:space="0" w:color="auto"/>
        <w:left w:val="none" w:sz="0" w:space="0" w:color="auto"/>
        <w:bottom w:val="none" w:sz="0" w:space="0" w:color="auto"/>
        <w:right w:val="none" w:sz="0" w:space="0" w:color="auto"/>
      </w:divBdr>
    </w:div>
    <w:div w:id="19663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snc.org.uk/nottinghamshire-lp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nc.org.uk/nottinghamshire-lpc/lpc-info-and-governance/lpc-activity/lpc-newslet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nottinghamshire-lpc/lpc-info-and-governance/lpc-activity/lpc-newsletter/" TargetMode="External"/><Relationship Id="rId5" Type="http://schemas.openxmlformats.org/officeDocument/2006/relationships/webSettings" Target="webSettings.xml"/><Relationship Id="rId15" Type="http://schemas.openxmlformats.org/officeDocument/2006/relationships/hyperlink" Target="https://psnc.org.uk/nottinghamshire-lpc/mp-visits/" TargetMode="External"/><Relationship Id="rId10" Type="http://schemas.openxmlformats.org/officeDocument/2006/relationships/hyperlink" Target="https://pharmacy-review.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psnc.org.uk/nottinghamshire-lpc/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F789-B829-4980-9F5A-3F6EFD33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10057</CharactersWithSpaces>
  <SharedDoc>false</SharedDoc>
  <HLinks>
    <vt:vector size="90" baseType="variant">
      <vt:variant>
        <vt:i4>1114161</vt:i4>
      </vt:variant>
      <vt:variant>
        <vt:i4>42</vt:i4>
      </vt:variant>
      <vt:variant>
        <vt:i4>0</vt:i4>
      </vt:variant>
      <vt:variant>
        <vt:i4>5</vt:i4>
      </vt:variant>
      <vt:variant>
        <vt:lpwstr>mailto:doncasterlpc@aol.com</vt:lpwstr>
      </vt:variant>
      <vt:variant>
        <vt:lpwstr/>
      </vt:variant>
      <vt:variant>
        <vt:i4>5767264</vt:i4>
      </vt:variant>
      <vt:variant>
        <vt:i4>39</vt:i4>
      </vt:variant>
      <vt:variant>
        <vt:i4>0</vt:i4>
      </vt:variant>
      <vt:variant>
        <vt:i4>5</vt:i4>
      </vt:variant>
      <vt:variant>
        <vt:lpwstr>mailto:nickhunter@o2.co.uk</vt:lpwstr>
      </vt:variant>
      <vt:variant>
        <vt:lpwstr/>
      </vt:variant>
      <vt:variant>
        <vt:i4>3276808</vt:i4>
      </vt:variant>
      <vt:variant>
        <vt:i4>36</vt:i4>
      </vt:variant>
      <vt:variant>
        <vt:i4>0</vt:i4>
      </vt:variant>
      <vt:variant>
        <vt:i4>5</vt:i4>
      </vt:variant>
      <vt:variant>
        <vt:lpwstr>http://www.lpc-online.org.uk/doncaster_lpc/</vt:lpwstr>
      </vt:variant>
      <vt:variant>
        <vt:lpwstr/>
      </vt:variant>
      <vt:variant>
        <vt:i4>4194317</vt:i4>
      </vt:variant>
      <vt:variant>
        <vt:i4>33</vt:i4>
      </vt:variant>
      <vt:variant>
        <vt:i4>0</vt:i4>
      </vt:variant>
      <vt:variant>
        <vt:i4>5</vt:i4>
      </vt:variant>
      <vt:variant>
        <vt:lpwstr>http://www.chemistanddruggist.co.uk/1</vt:lpwstr>
      </vt:variant>
      <vt:variant>
        <vt:lpwstr/>
      </vt:variant>
      <vt:variant>
        <vt:i4>5701690</vt:i4>
      </vt:variant>
      <vt:variant>
        <vt:i4>30</vt:i4>
      </vt:variant>
      <vt:variant>
        <vt:i4>0</vt:i4>
      </vt:variant>
      <vt:variant>
        <vt:i4>5</vt:i4>
      </vt:variant>
      <vt:variant>
        <vt:lpwstr>http://www.psnc.org.uk/publications_detail.php/266/inter_professional_guides</vt:lpwstr>
      </vt:variant>
      <vt:variant>
        <vt:lpwstr/>
      </vt:variant>
      <vt:variant>
        <vt:i4>8126569</vt:i4>
      </vt:variant>
      <vt:variant>
        <vt:i4>27</vt:i4>
      </vt:variant>
      <vt:variant>
        <vt:i4>0</vt:i4>
      </vt:variant>
      <vt:variant>
        <vt:i4>5</vt:i4>
      </vt:variant>
      <vt:variant>
        <vt:lpwstr>http://www.flickr.com/photos/doncasterlpc/</vt:lpwstr>
      </vt:variant>
      <vt:variant>
        <vt:lpwstr/>
      </vt:variant>
      <vt:variant>
        <vt:i4>4456457</vt:i4>
      </vt:variant>
      <vt:variant>
        <vt:i4>24</vt:i4>
      </vt:variant>
      <vt:variant>
        <vt:i4>0</vt:i4>
      </vt:variant>
      <vt:variant>
        <vt:i4>5</vt:i4>
      </vt:variant>
      <vt:variant>
        <vt:lpwstr>http://www.thestar.co.uk/doncaster/Top-award-for-NHSbacked-scheme.6405338.jp</vt:lpwstr>
      </vt:variant>
      <vt:variant>
        <vt:lpwstr/>
      </vt:variant>
      <vt:variant>
        <vt:i4>1703980</vt:i4>
      </vt:variant>
      <vt:variant>
        <vt:i4>21</vt:i4>
      </vt:variant>
      <vt:variant>
        <vt:i4>0</vt:i4>
      </vt:variant>
      <vt:variant>
        <vt:i4>5</vt:i4>
      </vt:variant>
      <vt:variant>
        <vt:lpwstr>http://www.doncasterpct.nhs.uk/news.asp?News_ID=1217</vt:lpwstr>
      </vt:variant>
      <vt:variant>
        <vt:lpwstr/>
      </vt:variant>
      <vt:variant>
        <vt:i4>1507419</vt:i4>
      </vt:variant>
      <vt:variant>
        <vt:i4>18</vt:i4>
      </vt:variant>
      <vt:variant>
        <vt:i4>0</vt:i4>
      </vt:variant>
      <vt:variant>
        <vt:i4>5</vt:i4>
      </vt:variant>
      <vt:variant>
        <vt:lpwstr>http://www.psnc.org.uk/pages/ig.html</vt:lpwstr>
      </vt:variant>
      <vt:variant>
        <vt:lpwstr/>
      </vt:variant>
      <vt:variant>
        <vt:i4>3276808</vt:i4>
      </vt:variant>
      <vt:variant>
        <vt:i4>15</vt:i4>
      </vt:variant>
      <vt:variant>
        <vt:i4>0</vt:i4>
      </vt:variant>
      <vt:variant>
        <vt:i4>5</vt:i4>
      </vt:variant>
      <vt:variant>
        <vt:lpwstr>http://www.lpc-online.org.uk/doncaster_lpc/</vt:lpwstr>
      </vt:variant>
      <vt:variant>
        <vt:lpwstr/>
      </vt:variant>
      <vt:variant>
        <vt:i4>3735594</vt:i4>
      </vt:variant>
      <vt:variant>
        <vt:i4>12</vt:i4>
      </vt:variant>
      <vt:variant>
        <vt:i4>0</vt:i4>
      </vt:variant>
      <vt:variant>
        <vt:i4>5</vt:i4>
      </vt:variant>
      <vt:variant>
        <vt:lpwstr>http://www.lpc-online.org.uk/doncaster_lpc/agm_10.html</vt:lpwstr>
      </vt:variant>
      <vt:variant>
        <vt:lpwstr/>
      </vt:variant>
      <vt:variant>
        <vt:i4>3276808</vt:i4>
      </vt:variant>
      <vt:variant>
        <vt:i4>9</vt:i4>
      </vt:variant>
      <vt:variant>
        <vt:i4>0</vt:i4>
      </vt:variant>
      <vt:variant>
        <vt:i4>5</vt:i4>
      </vt:variant>
      <vt:variant>
        <vt:lpwstr>http://www.lpc-online.org.uk/doncaster_lpc/</vt:lpwstr>
      </vt:variant>
      <vt:variant>
        <vt:lpwstr/>
      </vt:variant>
      <vt:variant>
        <vt:i4>3735594</vt:i4>
      </vt:variant>
      <vt:variant>
        <vt:i4>6</vt:i4>
      </vt:variant>
      <vt:variant>
        <vt:i4>0</vt:i4>
      </vt:variant>
      <vt:variant>
        <vt:i4>5</vt:i4>
      </vt:variant>
      <vt:variant>
        <vt:lpwstr>http://www.lpc-online.org.uk/doncaster_lpc/agm_10.html</vt:lpwstr>
      </vt:variant>
      <vt:variant>
        <vt:lpwstr/>
      </vt:variant>
      <vt:variant>
        <vt:i4>3735594</vt:i4>
      </vt:variant>
      <vt:variant>
        <vt:i4>3</vt:i4>
      </vt:variant>
      <vt:variant>
        <vt:i4>0</vt:i4>
      </vt:variant>
      <vt:variant>
        <vt:i4>5</vt:i4>
      </vt:variant>
      <vt:variant>
        <vt:lpwstr>http://www.lpc-online.org.uk/doncaster_lpc/agm_10.html</vt:lpwstr>
      </vt:variant>
      <vt:variant>
        <vt:lpwstr/>
      </vt:variant>
      <vt:variant>
        <vt:i4>3735594</vt:i4>
      </vt:variant>
      <vt:variant>
        <vt:i4>0</vt:i4>
      </vt:variant>
      <vt:variant>
        <vt:i4>0</vt:i4>
      </vt:variant>
      <vt:variant>
        <vt:i4>5</vt:i4>
      </vt:variant>
      <vt:variant>
        <vt:lpwstr>http://www.lpc-online.org.uk/doncaster_lpc/agm_10.html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Alison Ellis</cp:lastModifiedBy>
  <cp:revision>2</cp:revision>
  <cp:lastPrinted>2009-07-15T08:52:00Z</cp:lastPrinted>
  <dcterms:created xsi:type="dcterms:W3CDTF">2020-09-14T11:57:00Z</dcterms:created>
  <dcterms:modified xsi:type="dcterms:W3CDTF">2020-09-14T11:57:00Z</dcterms:modified>
</cp:coreProperties>
</file>